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09" w:rsidRPr="00290155" w:rsidRDefault="00353F09">
      <w:pPr>
        <w:pStyle w:val="2"/>
        <w:spacing w:line="280" w:lineRule="exact"/>
        <w:ind w:left="6180" w:right="0"/>
      </w:pPr>
      <w:r w:rsidRPr="00290155">
        <w:t>УТВЕРЖДЕНО</w:t>
      </w:r>
      <w:r w:rsidRPr="00290155">
        <w:br/>
        <w:t>Постановление</w:t>
      </w:r>
      <w:r w:rsidRPr="00290155">
        <w:br/>
        <w:t xml:space="preserve">Национального </w:t>
      </w:r>
      <w:r w:rsidRPr="00290155">
        <w:br/>
        <w:t>статистического комитета Республики Беларусь</w:t>
      </w:r>
      <w:r w:rsidRPr="00290155">
        <w:br/>
      </w:r>
      <w:r w:rsidR="00C21FC6" w:rsidRPr="00290155">
        <w:t>13.06.</w:t>
      </w:r>
      <w:bookmarkStart w:id="0" w:name="_GoBack"/>
      <w:bookmarkEnd w:id="0"/>
      <w:r w:rsidRPr="00290155">
        <w:t>201</w:t>
      </w:r>
      <w:r w:rsidR="002D664C" w:rsidRPr="00290155">
        <w:t>6</w:t>
      </w:r>
      <w:r w:rsidRPr="00290155">
        <w:t xml:space="preserve"> №</w:t>
      </w:r>
      <w:r w:rsidR="00C21FC6" w:rsidRPr="00290155">
        <w:t xml:space="preserve"> 64</w:t>
      </w:r>
      <w:r w:rsidRPr="00290155">
        <w:t xml:space="preserve"> </w:t>
      </w:r>
    </w:p>
    <w:p w:rsidR="00353F09" w:rsidRPr="00290155" w:rsidRDefault="00353F09"/>
    <w:p w:rsidR="00353F09" w:rsidRPr="00290155" w:rsidRDefault="00353F09"/>
    <w:p w:rsidR="00353F09" w:rsidRPr="00290155" w:rsidRDefault="00353F09"/>
    <w:p w:rsidR="00353F09" w:rsidRPr="00290155" w:rsidRDefault="00353F09"/>
    <w:p w:rsidR="00353F09" w:rsidRPr="00290155" w:rsidRDefault="00353F09"/>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820"/>
        <w:gridCol w:w="4926"/>
      </w:tblGrid>
      <w:tr w:rsidR="00353F09" w:rsidRPr="00290155">
        <w:tc>
          <w:tcPr>
            <w:tcW w:w="4820" w:type="dxa"/>
            <w:tcBorders>
              <w:top w:val="nil"/>
              <w:bottom w:val="nil"/>
              <w:right w:val="nil"/>
            </w:tcBorders>
          </w:tcPr>
          <w:p w:rsidR="00353F09" w:rsidRPr="00290155" w:rsidRDefault="00353F09">
            <w:pPr>
              <w:pStyle w:val="a3"/>
              <w:spacing w:after="0" w:line="280" w:lineRule="exact"/>
              <w:ind w:left="-57"/>
              <w:jc w:val="both"/>
              <w:rPr>
                <w:sz w:val="30"/>
              </w:rPr>
            </w:pPr>
            <w:r w:rsidRPr="00290155">
              <w:rPr>
                <w:sz w:val="30"/>
              </w:rPr>
              <w:t>УКАЗАНИЯ</w:t>
            </w:r>
          </w:p>
          <w:p w:rsidR="00353F09" w:rsidRPr="00290155" w:rsidRDefault="00353F09">
            <w:pPr>
              <w:spacing w:line="280" w:lineRule="exact"/>
              <w:ind w:left="-57" w:right="-57"/>
              <w:jc w:val="both"/>
              <w:rPr>
                <w:sz w:val="30"/>
              </w:rPr>
            </w:pPr>
            <w:r w:rsidRPr="00290155">
              <w:rPr>
                <w:sz w:val="30"/>
              </w:rPr>
              <w:t>по заполнению формы государственной статистической отчетности 1-т (травматизм) «Отчет о численности потерпевших при несчастных случаях на производстве»</w:t>
            </w:r>
          </w:p>
        </w:tc>
        <w:tc>
          <w:tcPr>
            <w:tcW w:w="4927" w:type="dxa"/>
            <w:tcBorders>
              <w:left w:val="nil"/>
            </w:tcBorders>
          </w:tcPr>
          <w:p w:rsidR="00353F09" w:rsidRPr="00290155" w:rsidRDefault="00353F09">
            <w:pPr>
              <w:spacing w:line="280" w:lineRule="exact"/>
              <w:rPr>
                <w:sz w:val="30"/>
              </w:rPr>
            </w:pPr>
          </w:p>
        </w:tc>
      </w:tr>
    </w:tbl>
    <w:p w:rsidR="00353F09" w:rsidRPr="00290155" w:rsidRDefault="00353F09">
      <w:pPr>
        <w:spacing w:line="200" w:lineRule="exact"/>
        <w:rPr>
          <w:sz w:val="16"/>
        </w:rPr>
      </w:pPr>
    </w:p>
    <w:p w:rsidR="00353F09" w:rsidRPr="00290155" w:rsidRDefault="00353F09">
      <w:pPr>
        <w:spacing w:line="200" w:lineRule="exact"/>
        <w:rPr>
          <w:sz w:val="16"/>
        </w:rPr>
      </w:pPr>
    </w:p>
    <w:p w:rsidR="00353F09" w:rsidRPr="00290155" w:rsidRDefault="00353F09">
      <w:pPr>
        <w:spacing w:line="200" w:lineRule="exact"/>
        <w:rPr>
          <w:sz w:val="16"/>
        </w:rPr>
      </w:pPr>
    </w:p>
    <w:p w:rsidR="00971F15" w:rsidRPr="00290155" w:rsidRDefault="00353F09">
      <w:pPr>
        <w:ind w:firstLine="709"/>
        <w:jc w:val="both"/>
        <w:rPr>
          <w:sz w:val="30"/>
          <w:szCs w:val="30"/>
        </w:rPr>
      </w:pPr>
      <w:r w:rsidRPr="00290155">
        <w:rPr>
          <w:sz w:val="30"/>
        </w:rPr>
        <w:t xml:space="preserve">1. </w:t>
      </w:r>
      <w:r w:rsidR="00971F15" w:rsidRPr="00290155">
        <w:rPr>
          <w:sz w:val="30"/>
          <w:szCs w:val="30"/>
        </w:rPr>
        <w:t xml:space="preserve">Государственную статистическую отчетность по форме </w:t>
      </w:r>
      <w:r w:rsidR="00971F15" w:rsidRPr="00290155">
        <w:rPr>
          <w:sz w:val="30"/>
          <w:szCs w:val="30"/>
        </w:rPr>
        <w:br/>
        <w:t xml:space="preserve">1-т (травматизм) «Отчет о численности потерпевших при несчастных случаях на производстве» (далее </w:t>
      </w:r>
      <w:r w:rsidR="00971F15" w:rsidRPr="00290155">
        <w:rPr>
          <w:sz w:val="30"/>
          <w:szCs w:val="30"/>
        </w:rPr>
        <w:sym w:font="Symbol" w:char="F02D"/>
      </w:r>
      <w:r w:rsidR="00971F15" w:rsidRPr="00290155">
        <w:rPr>
          <w:sz w:val="30"/>
          <w:szCs w:val="30"/>
        </w:rPr>
        <w:t xml:space="preserve"> отчет) представляют юридические лица, </w:t>
      </w:r>
      <w:r w:rsidR="00971F15" w:rsidRPr="00441C50">
        <w:rPr>
          <w:sz w:val="30"/>
          <w:szCs w:val="30"/>
        </w:rPr>
        <w:t>их обособленные подразделения</w:t>
      </w:r>
      <w:r w:rsidR="007A23BC" w:rsidRPr="007A23BC">
        <w:rPr>
          <w:sz w:val="30"/>
          <w:szCs w:val="30"/>
        </w:rPr>
        <w:t xml:space="preserve"> </w:t>
      </w:r>
      <w:r w:rsidR="00C97FC4" w:rsidRPr="007A23BC">
        <w:rPr>
          <w:sz w:val="30"/>
          <w:szCs w:val="30"/>
        </w:rPr>
        <w:t>(далее, если не определено иное, – организации)</w:t>
      </w:r>
      <w:r w:rsidR="00971F15" w:rsidRPr="00290155">
        <w:rPr>
          <w:sz w:val="30"/>
          <w:szCs w:val="30"/>
        </w:rPr>
        <w:t xml:space="preserve"> при наличии потерпевших при несч</w:t>
      </w:r>
      <w:r w:rsidR="002D664C" w:rsidRPr="00290155">
        <w:rPr>
          <w:sz w:val="30"/>
          <w:szCs w:val="30"/>
        </w:rPr>
        <w:t>астных случаях на производстве.</w:t>
      </w:r>
    </w:p>
    <w:p w:rsidR="00E43161" w:rsidRPr="00290155" w:rsidRDefault="00E43161" w:rsidP="00E43161">
      <w:pPr>
        <w:autoSpaceDE w:val="0"/>
        <w:autoSpaceDN w:val="0"/>
        <w:adjustRightInd w:val="0"/>
        <w:ind w:firstLine="709"/>
        <w:jc w:val="both"/>
        <w:rPr>
          <w:sz w:val="30"/>
          <w:szCs w:val="30"/>
        </w:rPr>
      </w:pPr>
      <w:r w:rsidRPr="00290155">
        <w:rPr>
          <w:sz w:val="30"/>
          <w:szCs w:val="30"/>
        </w:rPr>
        <w:t>2. Отчет не представляют:</w:t>
      </w:r>
    </w:p>
    <w:p w:rsidR="00E43161" w:rsidRPr="00290155" w:rsidRDefault="00E43161" w:rsidP="00E43161">
      <w:pPr>
        <w:autoSpaceDE w:val="0"/>
        <w:autoSpaceDN w:val="0"/>
        <w:adjustRightInd w:val="0"/>
        <w:ind w:firstLine="709"/>
        <w:jc w:val="both"/>
        <w:rPr>
          <w:sz w:val="30"/>
          <w:szCs w:val="30"/>
        </w:rPr>
      </w:pPr>
      <w:r w:rsidRPr="00290155">
        <w:rPr>
          <w:sz w:val="30"/>
          <w:szCs w:val="30"/>
        </w:rPr>
        <w:t xml:space="preserve">2.1. </w:t>
      </w:r>
      <w:proofErr w:type="spellStart"/>
      <w:r w:rsidRPr="00290155">
        <w:rPr>
          <w:sz w:val="30"/>
          <w:szCs w:val="30"/>
        </w:rPr>
        <w:t>микроорганизации</w:t>
      </w:r>
      <w:proofErr w:type="spellEnd"/>
      <w:r w:rsidRPr="00290155">
        <w:rPr>
          <w:sz w:val="30"/>
          <w:szCs w:val="30"/>
        </w:rPr>
        <w:t>;</w:t>
      </w:r>
    </w:p>
    <w:p w:rsidR="00E43161" w:rsidRPr="00290155" w:rsidRDefault="00E43161" w:rsidP="00E43161">
      <w:pPr>
        <w:autoSpaceDE w:val="0"/>
        <w:autoSpaceDN w:val="0"/>
        <w:adjustRightInd w:val="0"/>
        <w:ind w:firstLine="709"/>
        <w:jc w:val="both"/>
        <w:rPr>
          <w:sz w:val="30"/>
          <w:szCs w:val="30"/>
        </w:rPr>
      </w:pPr>
      <w:r w:rsidRPr="00290155">
        <w:rPr>
          <w:sz w:val="30"/>
          <w:szCs w:val="30"/>
        </w:rPr>
        <w:t>2.2. крестьянские (фермерские) хозяйства;</w:t>
      </w:r>
    </w:p>
    <w:p w:rsidR="00E43161" w:rsidRPr="00290155" w:rsidRDefault="00E43161" w:rsidP="00E43161">
      <w:pPr>
        <w:autoSpaceDE w:val="0"/>
        <w:autoSpaceDN w:val="0"/>
        <w:adjustRightInd w:val="0"/>
        <w:ind w:firstLine="709"/>
        <w:jc w:val="both"/>
        <w:rPr>
          <w:sz w:val="30"/>
        </w:rPr>
      </w:pPr>
      <w:r w:rsidRPr="00290155">
        <w:rPr>
          <w:sz w:val="30"/>
          <w:szCs w:val="30"/>
        </w:rPr>
        <w:t>2.3. сельские, поселковые и городские (городов районного подчинения) Советы депутатов и исполнительные комитеты;</w:t>
      </w:r>
    </w:p>
    <w:p w:rsidR="00E43161" w:rsidRPr="00290155" w:rsidRDefault="00E43161" w:rsidP="00E43161">
      <w:pPr>
        <w:autoSpaceDE w:val="0"/>
        <w:autoSpaceDN w:val="0"/>
        <w:adjustRightInd w:val="0"/>
        <w:ind w:firstLine="709"/>
        <w:jc w:val="both"/>
        <w:rPr>
          <w:sz w:val="30"/>
          <w:szCs w:val="30"/>
        </w:rPr>
      </w:pPr>
      <w:r w:rsidRPr="00290155">
        <w:rPr>
          <w:sz w:val="30"/>
          <w:szCs w:val="30"/>
        </w:rPr>
        <w:t>2.4. некоммерческие организации:</w:t>
      </w:r>
    </w:p>
    <w:p w:rsidR="00E43161" w:rsidRPr="00290155" w:rsidRDefault="00E43161" w:rsidP="00E43161">
      <w:pPr>
        <w:autoSpaceDE w:val="0"/>
        <w:autoSpaceDN w:val="0"/>
        <w:adjustRightInd w:val="0"/>
        <w:ind w:firstLine="709"/>
        <w:jc w:val="both"/>
        <w:rPr>
          <w:sz w:val="30"/>
          <w:szCs w:val="30"/>
        </w:rPr>
      </w:pPr>
      <w:r w:rsidRPr="00290155">
        <w:rPr>
          <w:sz w:val="30"/>
          <w:szCs w:val="30"/>
        </w:rPr>
        <w:t>со средней численностью работников за календарный год до 15 человек включительно;</w:t>
      </w:r>
    </w:p>
    <w:p w:rsidR="00E43161" w:rsidRPr="00290155" w:rsidRDefault="00E43161" w:rsidP="00E43161">
      <w:pPr>
        <w:autoSpaceDE w:val="0"/>
        <w:autoSpaceDN w:val="0"/>
        <w:adjustRightInd w:val="0"/>
        <w:ind w:firstLine="709"/>
        <w:jc w:val="both"/>
        <w:rPr>
          <w:sz w:val="30"/>
          <w:szCs w:val="30"/>
        </w:rPr>
      </w:pPr>
      <w:r w:rsidRPr="00290155">
        <w:rPr>
          <w:sz w:val="30"/>
          <w:szCs w:val="30"/>
        </w:rPr>
        <w:t>потребительские кооперативы (за исключением союзов потребительских обществ и потребительских обществ);</w:t>
      </w:r>
    </w:p>
    <w:p w:rsidR="00E43161" w:rsidRPr="00290155" w:rsidRDefault="00E43161" w:rsidP="00E43161">
      <w:pPr>
        <w:autoSpaceDE w:val="0"/>
        <w:autoSpaceDN w:val="0"/>
        <w:adjustRightInd w:val="0"/>
        <w:ind w:firstLine="709"/>
        <w:jc w:val="both"/>
        <w:rPr>
          <w:sz w:val="30"/>
          <w:szCs w:val="30"/>
        </w:rPr>
      </w:pPr>
      <w:r w:rsidRPr="00290155">
        <w:rPr>
          <w:sz w:val="30"/>
          <w:szCs w:val="30"/>
        </w:rPr>
        <w:t>религиозные организации;</w:t>
      </w:r>
    </w:p>
    <w:p w:rsidR="00E43161" w:rsidRPr="00290155" w:rsidRDefault="00E43161" w:rsidP="00E43161">
      <w:pPr>
        <w:autoSpaceDE w:val="0"/>
        <w:autoSpaceDN w:val="0"/>
        <w:adjustRightInd w:val="0"/>
        <w:ind w:firstLine="709"/>
        <w:jc w:val="both"/>
        <w:rPr>
          <w:sz w:val="30"/>
          <w:szCs w:val="30"/>
        </w:rPr>
      </w:pPr>
      <w:r w:rsidRPr="00290155">
        <w:rPr>
          <w:sz w:val="30"/>
          <w:szCs w:val="30"/>
        </w:rPr>
        <w:t>товарищества собственников.</w:t>
      </w:r>
    </w:p>
    <w:p w:rsidR="00EF1771" w:rsidRPr="00290155" w:rsidRDefault="00EF1771" w:rsidP="00EF1771">
      <w:pPr>
        <w:ind w:firstLine="709"/>
        <w:jc w:val="both"/>
        <w:rPr>
          <w:sz w:val="30"/>
          <w:szCs w:val="30"/>
        </w:rPr>
      </w:pPr>
      <w:r w:rsidRPr="00290155">
        <w:rPr>
          <w:sz w:val="30"/>
          <w:szCs w:val="30"/>
        </w:rPr>
        <w:t>2</w:t>
      </w:r>
      <w:r w:rsidRPr="00290155">
        <w:rPr>
          <w:sz w:val="30"/>
          <w:szCs w:val="30"/>
          <w:vertAlign w:val="superscript"/>
        </w:rPr>
        <w:t>1</w:t>
      </w:r>
      <w:r w:rsidRPr="00290155">
        <w:rPr>
          <w:sz w:val="30"/>
          <w:szCs w:val="30"/>
        </w:rPr>
        <w:t>.</w:t>
      </w:r>
      <w:r w:rsidR="006B65B6">
        <w:rPr>
          <w:sz w:val="30"/>
          <w:szCs w:val="30"/>
        </w:rPr>
        <w:t xml:space="preserve"> </w:t>
      </w:r>
      <w:r w:rsidRPr="00290155">
        <w:rPr>
          <w:sz w:val="30"/>
          <w:szCs w:val="30"/>
        </w:rPr>
        <w:t xml:space="preserve">Органы государственного управления, за исключением, перечисленных в </w:t>
      </w:r>
      <w:hyperlink r:id="rId8" w:history="1">
        <w:r w:rsidRPr="00290155">
          <w:rPr>
            <w:sz w:val="30"/>
            <w:szCs w:val="30"/>
          </w:rPr>
          <w:t xml:space="preserve"> подпункте 2.</w:t>
        </w:r>
      </w:hyperlink>
      <w:r w:rsidRPr="00290155">
        <w:rPr>
          <w:sz w:val="30"/>
          <w:szCs w:val="30"/>
        </w:rPr>
        <w:t>3 пункта 2 настоящих Указаний, представляют отчет независимо от численности работников.</w:t>
      </w:r>
    </w:p>
    <w:p w:rsidR="002D6CE6" w:rsidRPr="00290155" w:rsidRDefault="00E2533E" w:rsidP="00E43161">
      <w:pPr>
        <w:ind w:firstLine="709"/>
        <w:jc w:val="both"/>
        <w:rPr>
          <w:color w:val="000000"/>
          <w:sz w:val="30"/>
          <w:szCs w:val="30"/>
        </w:rPr>
      </w:pPr>
      <w:r w:rsidRPr="00290155">
        <w:rPr>
          <w:sz w:val="30"/>
        </w:rPr>
        <w:t>3</w:t>
      </w:r>
      <w:r w:rsidR="0065603C" w:rsidRPr="00290155">
        <w:rPr>
          <w:sz w:val="30"/>
          <w:szCs w:val="30"/>
        </w:rPr>
        <w:t xml:space="preserve">. </w:t>
      </w:r>
      <w:r w:rsidR="002D6CE6" w:rsidRPr="00290155">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w:t>
      </w:r>
      <w:r w:rsidR="002D6CE6" w:rsidRPr="00290155">
        <w:rPr>
          <w:sz w:val="30"/>
          <w:szCs w:val="30"/>
        </w:rPr>
        <w:lastRenderedPageBreak/>
        <w:t xml:space="preserve">официальном сайте Национального статистического комитета </w:t>
      </w:r>
      <w:r w:rsidR="00FD5626" w:rsidRPr="00290155">
        <w:rPr>
          <w:sz w:val="30"/>
          <w:szCs w:val="30"/>
        </w:rPr>
        <w:br/>
      </w:r>
      <w:r w:rsidR="002D6CE6" w:rsidRPr="00290155">
        <w:rPr>
          <w:sz w:val="30"/>
          <w:szCs w:val="30"/>
        </w:rPr>
        <w:t xml:space="preserve">в глобальной компьютерной сети Интернет </w:t>
      </w:r>
      <w:hyperlink r:id="rId9" w:history="1">
        <w:r w:rsidR="002D6CE6" w:rsidRPr="00290155">
          <w:rPr>
            <w:rStyle w:val="a7"/>
            <w:color w:val="000000"/>
            <w:sz w:val="30"/>
            <w:szCs w:val="30"/>
            <w:u w:val="none"/>
          </w:rPr>
          <w:t>http://</w:t>
        </w:r>
        <w:r w:rsidR="002D6CE6" w:rsidRPr="00290155">
          <w:rPr>
            <w:rStyle w:val="a7"/>
            <w:color w:val="000000"/>
            <w:sz w:val="30"/>
            <w:szCs w:val="30"/>
            <w:u w:val="none"/>
            <w:lang w:val="en-US"/>
          </w:rPr>
          <w:t>www</w:t>
        </w:r>
        <w:r w:rsidR="002D6CE6" w:rsidRPr="00290155">
          <w:rPr>
            <w:rStyle w:val="a7"/>
            <w:color w:val="000000"/>
            <w:sz w:val="30"/>
            <w:szCs w:val="30"/>
            <w:u w:val="none"/>
          </w:rPr>
          <w:t>.</w:t>
        </w:r>
        <w:proofErr w:type="spellStart"/>
        <w:r w:rsidR="002D6CE6" w:rsidRPr="00290155">
          <w:rPr>
            <w:rStyle w:val="a7"/>
            <w:color w:val="000000"/>
            <w:sz w:val="30"/>
            <w:szCs w:val="30"/>
            <w:u w:val="none"/>
            <w:lang w:val="en-US"/>
          </w:rPr>
          <w:t>belstat</w:t>
        </w:r>
        <w:proofErr w:type="spellEnd"/>
        <w:r w:rsidR="002D6CE6" w:rsidRPr="00290155">
          <w:rPr>
            <w:rStyle w:val="a7"/>
            <w:color w:val="000000"/>
            <w:sz w:val="30"/>
            <w:szCs w:val="30"/>
            <w:u w:val="none"/>
          </w:rPr>
          <w:t>.</w:t>
        </w:r>
        <w:proofErr w:type="spellStart"/>
        <w:r w:rsidR="002D6CE6" w:rsidRPr="00290155">
          <w:rPr>
            <w:rStyle w:val="a7"/>
            <w:color w:val="000000"/>
            <w:sz w:val="30"/>
            <w:szCs w:val="30"/>
            <w:u w:val="none"/>
            <w:lang w:val="en-US"/>
          </w:rPr>
          <w:t>gov</w:t>
        </w:r>
        <w:proofErr w:type="spellEnd"/>
        <w:r w:rsidR="002D6CE6" w:rsidRPr="00290155">
          <w:rPr>
            <w:rStyle w:val="a7"/>
            <w:color w:val="000000"/>
            <w:sz w:val="30"/>
            <w:szCs w:val="30"/>
            <w:u w:val="none"/>
          </w:rPr>
          <w:t>.</w:t>
        </w:r>
        <w:r w:rsidR="002D6CE6" w:rsidRPr="00290155">
          <w:rPr>
            <w:rStyle w:val="a7"/>
            <w:color w:val="000000"/>
            <w:sz w:val="30"/>
            <w:szCs w:val="30"/>
            <w:u w:val="none"/>
            <w:lang w:val="en-US"/>
          </w:rPr>
          <w:t>by</w:t>
        </w:r>
      </w:hyperlink>
      <w:r w:rsidR="002D6CE6" w:rsidRPr="00290155">
        <w:rPr>
          <w:color w:val="000000"/>
          <w:sz w:val="30"/>
          <w:szCs w:val="30"/>
        </w:rPr>
        <w:t>.</w:t>
      </w:r>
    </w:p>
    <w:p w:rsidR="0015577F" w:rsidRPr="00290155" w:rsidRDefault="00E2533E" w:rsidP="002D6CE6">
      <w:pPr>
        <w:ind w:firstLine="709"/>
        <w:jc w:val="both"/>
        <w:rPr>
          <w:sz w:val="30"/>
          <w:szCs w:val="30"/>
        </w:rPr>
      </w:pPr>
      <w:r w:rsidRPr="00290155">
        <w:rPr>
          <w:sz w:val="30"/>
          <w:szCs w:val="30"/>
        </w:rPr>
        <w:t>4</w:t>
      </w:r>
      <w:r w:rsidR="0015577F" w:rsidRPr="00290155">
        <w:rPr>
          <w:sz w:val="30"/>
          <w:szCs w:val="30"/>
        </w:rPr>
        <w:t xml:space="preserve">. Юридические лица, </w:t>
      </w:r>
      <w:r w:rsidR="0015577F" w:rsidRPr="007175E6">
        <w:rPr>
          <w:sz w:val="30"/>
          <w:szCs w:val="30"/>
        </w:rPr>
        <w:t>их обособленные подразделения</w:t>
      </w:r>
      <w:r w:rsidR="0015577F" w:rsidRPr="007A23BC">
        <w:rPr>
          <w:sz w:val="30"/>
          <w:szCs w:val="30"/>
        </w:rPr>
        <w:t xml:space="preserve"> </w:t>
      </w:r>
      <w:r w:rsidR="0015577F" w:rsidRPr="00290155">
        <w:rPr>
          <w:sz w:val="30"/>
          <w:szCs w:val="30"/>
        </w:rPr>
        <w:t>составляют отчет, включая данные по входящим в их структуру подразделениям</w:t>
      </w:r>
      <w:r w:rsidR="0015577F" w:rsidRPr="007175E6">
        <w:rPr>
          <w:sz w:val="30"/>
          <w:szCs w:val="30"/>
        </w:rPr>
        <w:t>,</w:t>
      </w:r>
      <w:r w:rsidR="0015577F" w:rsidRPr="00290155">
        <w:rPr>
          <w:sz w:val="30"/>
          <w:szCs w:val="30"/>
        </w:rPr>
        <w:t xml:space="preserve"> расположенным на одной с ними территории (район области, город областного подчинения, город Минск).</w:t>
      </w:r>
    </w:p>
    <w:p w:rsidR="0015577F" w:rsidRPr="00290155" w:rsidRDefault="0015577F" w:rsidP="0015577F">
      <w:pPr>
        <w:ind w:firstLine="680"/>
        <w:jc w:val="both"/>
        <w:rPr>
          <w:sz w:val="30"/>
          <w:szCs w:val="30"/>
        </w:rPr>
      </w:pPr>
      <w:r w:rsidRPr="00290155">
        <w:rPr>
          <w:sz w:val="30"/>
          <w:szCs w:val="30"/>
        </w:rPr>
        <w:t xml:space="preserve">Юридические лица, </w:t>
      </w:r>
      <w:r w:rsidRPr="00441C50">
        <w:rPr>
          <w:sz w:val="30"/>
          <w:szCs w:val="30"/>
        </w:rPr>
        <w:t>их обособленные подразделени</w:t>
      </w:r>
      <w:r w:rsidR="007A23BC">
        <w:rPr>
          <w:sz w:val="30"/>
          <w:szCs w:val="30"/>
        </w:rPr>
        <w:t>я</w:t>
      </w:r>
      <w:r w:rsidR="00394699">
        <w:rPr>
          <w:sz w:val="30"/>
          <w:szCs w:val="30"/>
        </w:rPr>
        <w:t>,</w:t>
      </w:r>
      <w:r w:rsidRPr="00290155">
        <w:rPr>
          <w:sz w:val="30"/>
          <w:szCs w:val="30"/>
        </w:rPr>
        <w:t xml:space="preserve"> в структуре которых имеются подразделения</w:t>
      </w:r>
      <w:r w:rsidRPr="007175E6">
        <w:rPr>
          <w:sz w:val="30"/>
          <w:szCs w:val="30"/>
        </w:rPr>
        <w:t>,</w:t>
      </w:r>
      <w:r w:rsidRPr="00290155">
        <w:rPr>
          <w:sz w:val="30"/>
          <w:szCs w:val="30"/>
        </w:rPr>
        <w:t xml:space="preserve">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sidR="007175E6" w:rsidRPr="007A23BC">
        <w:rPr>
          <w:sz w:val="30"/>
          <w:szCs w:val="30"/>
        </w:rPr>
        <w:t>расположенным на</w:t>
      </w:r>
      <w:r w:rsidR="007175E6">
        <w:rPr>
          <w:sz w:val="30"/>
          <w:szCs w:val="30"/>
        </w:rPr>
        <w:t xml:space="preserve"> </w:t>
      </w:r>
      <w:r w:rsidRPr="00290155">
        <w:rPr>
          <w:sz w:val="30"/>
          <w:szCs w:val="30"/>
        </w:rPr>
        <w:t xml:space="preserve">одной территории, при этом </w:t>
      </w:r>
      <w:r w:rsidR="00290155" w:rsidRPr="00290155">
        <w:rPr>
          <w:sz w:val="30"/>
          <w:szCs w:val="30"/>
        </w:rPr>
        <w:t xml:space="preserve">в графе 3 реквизита «Сведения </w:t>
      </w:r>
      <w:r w:rsidR="007A23BC">
        <w:rPr>
          <w:sz w:val="30"/>
          <w:szCs w:val="30"/>
        </w:rPr>
        <w:br/>
      </w:r>
      <w:r w:rsidR="00E43161" w:rsidRPr="00290155">
        <w:rPr>
          <w:sz w:val="30"/>
          <w:szCs w:val="30"/>
        </w:rPr>
        <w:t xml:space="preserve">о респонденте» </w:t>
      </w:r>
      <w:r w:rsidRPr="00290155">
        <w:rPr>
          <w:sz w:val="30"/>
          <w:szCs w:val="30"/>
        </w:rPr>
        <w:t>указывается фактическое место нахождения данных подразделений (наименование района, города областного подчинения, город Минск).</w:t>
      </w:r>
    </w:p>
    <w:p w:rsidR="00517347" w:rsidRPr="00290155" w:rsidRDefault="00517347" w:rsidP="00517347">
      <w:pPr>
        <w:pStyle w:val="ConsPlusNormal"/>
        <w:ind w:firstLine="720"/>
        <w:jc w:val="both"/>
        <w:rPr>
          <w:rFonts w:ascii="Times New Roman" w:hAnsi="Times New Roman" w:cs="Times New Roman"/>
          <w:sz w:val="30"/>
          <w:szCs w:val="30"/>
        </w:rPr>
      </w:pPr>
      <w:r w:rsidRPr="00290155">
        <w:rPr>
          <w:rFonts w:ascii="Times New Roman" w:hAnsi="Times New Roman" w:cs="Times New Roman"/>
          <w:sz w:val="30"/>
          <w:szCs w:val="30"/>
        </w:rPr>
        <w:t>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w:t>
      </w:r>
      <w:proofErr w:type="gramStart"/>
      <w:r w:rsidRPr="00290155">
        <w:rPr>
          <w:rFonts w:ascii="Times New Roman" w:hAnsi="Times New Roman" w:cs="Times New Roman"/>
          <w:sz w:val="30"/>
          <w:szCs w:val="30"/>
        </w:rPr>
        <w:t xml:space="preserve"> О</w:t>
      </w:r>
      <w:proofErr w:type="gramEnd"/>
      <w:r w:rsidRPr="00290155">
        <w:rPr>
          <w:rFonts w:ascii="Times New Roman" w:hAnsi="Times New Roman" w:cs="Times New Roman"/>
          <w:sz w:val="30"/>
          <w:szCs w:val="30"/>
        </w:rPr>
        <w:t xml:space="preserve"> «Государственное управление» общегосударственного </w:t>
      </w:r>
      <w:hyperlink r:id="rId10" w:history="1">
        <w:r w:rsidRPr="00290155">
          <w:rPr>
            <w:rFonts w:ascii="Times New Roman" w:hAnsi="Times New Roman" w:cs="Times New Roman"/>
            <w:sz w:val="30"/>
            <w:szCs w:val="30"/>
          </w:rPr>
          <w:t>классификатор</w:t>
        </w:r>
      </w:hyperlink>
      <w:r w:rsidRPr="00290155">
        <w:rPr>
          <w:rFonts w:ascii="Times New Roman" w:hAnsi="Times New Roman" w:cs="Times New Roman"/>
          <w:sz w:val="30"/>
          <w:szCs w:val="30"/>
        </w:rPr>
        <w:t xml:space="preserve">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(далее – ОКРБ 005-2011), </w:t>
      </w:r>
      <w:r w:rsidRPr="00290155">
        <w:rPr>
          <w:rFonts w:ascii="Times New Roman" w:hAnsi="Times New Roman" w:cs="Times New Roman"/>
          <w:sz w:val="30"/>
          <w:szCs w:val="30"/>
        </w:rPr>
        <w:br/>
        <w:t xml:space="preserve">а также отдельные отчеты по работникам структурных подразделений, </w:t>
      </w:r>
      <w:r w:rsidRPr="00290155">
        <w:rPr>
          <w:rFonts w:ascii="Times New Roman" w:hAnsi="Times New Roman" w:cs="Times New Roman"/>
          <w:sz w:val="30"/>
          <w:szCs w:val="30"/>
        </w:rPr>
        <w:br/>
        <w:t>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15577F" w:rsidRPr="00290155" w:rsidRDefault="00A47EDA" w:rsidP="00112290">
      <w:pPr>
        <w:ind w:firstLine="709"/>
        <w:jc w:val="both"/>
        <w:rPr>
          <w:sz w:val="30"/>
          <w:szCs w:val="30"/>
        </w:rPr>
      </w:pPr>
      <w:r w:rsidRPr="008B18A5">
        <w:rPr>
          <w:sz w:val="30"/>
          <w:szCs w:val="30"/>
        </w:rPr>
        <w:t>Министерство внутренних дел, Государственный пограничный комитет,</w:t>
      </w:r>
      <w:r w:rsidRPr="00290155">
        <w:rPr>
          <w:sz w:val="30"/>
          <w:szCs w:val="30"/>
        </w:rPr>
        <w:t xml:space="preserve"> </w:t>
      </w:r>
      <w:r w:rsidRPr="008B18A5">
        <w:rPr>
          <w:sz w:val="30"/>
          <w:szCs w:val="30"/>
        </w:rPr>
        <w:t xml:space="preserve">Комитет государственной безопасности, Министерство </w:t>
      </w:r>
      <w:r w:rsidR="000B3C8E" w:rsidRPr="008B18A5">
        <w:rPr>
          <w:sz w:val="30"/>
          <w:szCs w:val="30"/>
        </w:rPr>
        <w:br/>
      </w:r>
      <w:r w:rsidRPr="008B18A5">
        <w:rPr>
          <w:sz w:val="30"/>
          <w:szCs w:val="30"/>
        </w:rPr>
        <w:t>по чрезвычайным ситуациям</w:t>
      </w:r>
      <w:r w:rsidRPr="00290155">
        <w:rPr>
          <w:sz w:val="30"/>
          <w:szCs w:val="30"/>
        </w:rPr>
        <w:t xml:space="preserve">, </w:t>
      </w:r>
      <w:r w:rsidRPr="008B18A5">
        <w:rPr>
          <w:sz w:val="30"/>
          <w:szCs w:val="30"/>
        </w:rPr>
        <w:t>Министерство обороны, Государственный комитет судебных экспертиз</w:t>
      </w:r>
      <w:r w:rsidR="00723A2D" w:rsidRPr="00723A2D">
        <w:rPr>
          <w:sz w:val="30"/>
          <w:szCs w:val="30"/>
        </w:rPr>
        <w:t xml:space="preserve">, </w:t>
      </w:r>
      <w:r w:rsidR="00723A2D" w:rsidRPr="007E73C5">
        <w:rPr>
          <w:sz w:val="30"/>
          <w:szCs w:val="30"/>
        </w:rPr>
        <w:t>Следственный комитет и подчиненные им организации</w:t>
      </w:r>
      <w:r w:rsidR="00297804" w:rsidRPr="007E73C5">
        <w:rPr>
          <w:sz w:val="30"/>
          <w:szCs w:val="30"/>
        </w:rPr>
        <w:t>;</w:t>
      </w:r>
      <w:r w:rsidR="00723A2D" w:rsidRPr="00723A2D">
        <w:rPr>
          <w:sz w:val="30"/>
          <w:szCs w:val="30"/>
        </w:rPr>
        <w:t xml:space="preserve"> </w:t>
      </w:r>
      <w:r w:rsidR="003B50A3" w:rsidRPr="008B18A5">
        <w:rPr>
          <w:sz w:val="30"/>
          <w:szCs w:val="30"/>
        </w:rPr>
        <w:t>Департамент финансовых расследований Комитета государственного контроля,</w:t>
      </w:r>
      <w:r w:rsidR="003B50A3" w:rsidRPr="00290155">
        <w:rPr>
          <w:sz w:val="30"/>
          <w:szCs w:val="30"/>
        </w:rPr>
        <w:t xml:space="preserve"> </w:t>
      </w:r>
      <w:r w:rsidRPr="008B18A5">
        <w:rPr>
          <w:sz w:val="30"/>
          <w:szCs w:val="30"/>
        </w:rPr>
        <w:t>Служба безопасности Президента Республики Беларусь</w:t>
      </w:r>
      <w:r w:rsidRPr="00290155">
        <w:rPr>
          <w:sz w:val="30"/>
          <w:szCs w:val="30"/>
        </w:rPr>
        <w:t xml:space="preserve">, Оперативно-аналитический центр при Президенте Республики Беларусь </w:t>
      </w:r>
      <w:r w:rsidR="00DD05F6" w:rsidRPr="00290155">
        <w:rPr>
          <w:sz w:val="30"/>
          <w:szCs w:val="30"/>
        </w:rPr>
        <w:t>со</w:t>
      </w:r>
      <w:r w:rsidR="0015577F" w:rsidRPr="00290155">
        <w:rPr>
          <w:sz w:val="30"/>
          <w:szCs w:val="30"/>
        </w:rPr>
        <w:t>ставляют отчет в отношении гражданского персонала.</w:t>
      </w:r>
    </w:p>
    <w:p w:rsidR="002262E3" w:rsidRPr="00290155" w:rsidRDefault="002262E3" w:rsidP="002262E3">
      <w:pPr>
        <w:ind w:firstLine="709"/>
        <w:jc w:val="both"/>
        <w:rPr>
          <w:sz w:val="30"/>
          <w:szCs w:val="30"/>
        </w:rPr>
      </w:pPr>
      <w:r w:rsidRPr="00290155">
        <w:rPr>
          <w:sz w:val="30"/>
          <w:szCs w:val="30"/>
        </w:rPr>
        <w:t>Малые организации без ведомственной подчиненности составляют отчет в целом по юридическому лицу.</w:t>
      </w:r>
    </w:p>
    <w:p w:rsidR="00FD5626" w:rsidRPr="00290155" w:rsidRDefault="00FD5626" w:rsidP="00FD5626">
      <w:pPr>
        <w:ind w:firstLine="680"/>
        <w:jc w:val="both"/>
        <w:rPr>
          <w:sz w:val="30"/>
        </w:rPr>
      </w:pPr>
      <w:r w:rsidRPr="00290155">
        <w:rPr>
          <w:sz w:val="30"/>
        </w:rPr>
        <w:t xml:space="preserve">5. </w:t>
      </w:r>
      <w:proofErr w:type="gramStart"/>
      <w:r w:rsidRPr="00290155">
        <w:rPr>
          <w:sz w:val="30"/>
        </w:rPr>
        <w:t xml:space="preserve">В отчете отражаются данные о численности потерпевших </w:t>
      </w:r>
      <w:r w:rsidR="006F7141">
        <w:rPr>
          <w:sz w:val="30"/>
        </w:rPr>
        <w:t>(</w:t>
      </w:r>
      <w:r w:rsidR="00723A2D" w:rsidRPr="007E73C5">
        <w:rPr>
          <w:sz w:val="30"/>
          <w:szCs w:val="30"/>
        </w:rPr>
        <w:t>работников списочного состава, внешних совместителей, а также</w:t>
      </w:r>
      <w:r w:rsidRPr="00290155">
        <w:rPr>
          <w:sz w:val="30"/>
        </w:rPr>
        <w:t xml:space="preserve"> работающих (работавших) на основании гражданско-правовых договоров) </w:t>
      </w:r>
      <w:r w:rsidRPr="00290155">
        <w:rPr>
          <w:sz w:val="30"/>
        </w:rPr>
        <w:lastRenderedPageBreak/>
        <w:t>при несчастных случаях на производстве в отчетном году, расследование которых проведено в соответствии с Правилами расследования и учета несч</w:t>
      </w:r>
      <w:r w:rsidR="007E73C5">
        <w:rPr>
          <w:sz w:val="30"/>
        </w:rPr>
        <w:t xml:space="preserve">астных случаев на производстве </w:t>
      </w:r>
      <w:r w:rsidRPr="00290155">
        <w:rPr>
          <w:sz w:val="30"/>
        </w:rPr>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rsidRPr="00290155">
          <w:rPr>
            <w:sz w:val="30"/>
          </w:rPr>
          <w:t>2004 г</w:t>
        </w:r>
      </w:smartTag>
      <w:r w:rsidRPr="00290155">
        <w:rPr>
          <w:sz w:val="30"/>
        </w:rPr>
        <w:t>. № 30, и результаты расследования</w:t>
      </w:r>
      <w:proofErr w:type="gramEnd"/>
      <w:r w:rsidRPr="00290155">
        <w:rPr>
          <w:sz w:val="30"/>
        </w:rPr>
        <w:t xml:space="preserve"> </w:t>
      </w:r>
      <w:proofErr w:type="gramStart"/>
      <w:r w:rsidRPr="00290155">
        <w:rPr>
          <w:sz w:val="30"/>
        </w:rPr>
        <w:t xml:space="preserve">которых оформлены актом о несчастном случае на производстве формы Н-1 согласно </w:t>
      </w:r>
      <w:r w:rsidRPr="00290155">
        <w:rPr>
          <w:sz w:val="30"/>
          <w:szCs w:val="30"/>
        </w:rPr>
        <w:t>приложению 4 к постановлению Министерства труда и социальной защиты Республики Беларусь и Министерства здравоох</w:t>
      </w:r>
      <w:r w:rsidR="007E73C5">
        <w:rPr>
          <w:sz w:val="30"/>
          <w:szCs w:val="30"/>
        </w:rPr>
        <w:t xml:space="preserve">ранения Республики Беларусь от </w:t>
      </w:r>
      <w:r w:rsidRPr="00290155">
        <w:rPr>
          <w:sz w:val="30"/>
          <w:szCs w:val="30"/>
        </w:rPr>
        <w:t xml:space="preserve">14 августа 2015 г. № 51/94 </w:t>
      </w:r>
      <w:r w:rsidR="007E73C5">
        <w:rPr>
          <w:sz w:val="30"/>
          <w:szCs w:val="30"/>
        </w:rPr>
        <w:br/>
      </w:r>
      <w:r w:rsidRPr="00290155">
        <w:rPr>
          <w:sz w:val="30"/>
        </w:rPr>
        <w:t>«О документах, необходимых для расследования и учета несчастных случаев на производстве и профессиональных заболеваний» (далее – акт формы Н-1).</w:t>
      </w:r>
      <w:proofErr w:type="gramEnd"/>
    </w:p>
    <w:p w:rsidR="006C11CD" w:rsidRPr="00290155" w:rsidRDefault="00E2533E" w:rsidP="006C11CD">
      <w:pPr>
        <w:ind w:firstLine="680"/>
        <w:jc w:val="both"/>
        <w:rPr>
          <w:sz w:val="30"/>
        </w:rPr>
      </w:pPr>
      <w:r w:rsidRPr="00290155">
        <w:rPr>
          <w:sz w:val="30"/>
        </w:rPr>
        <w:t>6</w:t>
      </w:r>
      <w:r w:rsidR="00BA4D63" w:rsidRPr="00290155">
        <w:rPr>
          <w:sz w:val="30"/>
        </w:rPr>
        <w:t xml:space="preserve">. </w:t>
      </w:r>
      <w:r w:rsidR="006C11CD" w:rsidRPr="00290155">
        <w:rPr>
          <w:sz w:val="30"/>
        </w:rPr>
        <w:t>В отчет не включаются сведения о потерпевших при несчастных случаях (происшествиях):</w:t>
      </w:r>
    </w:p>
    <w:p w:rsidR="006C11CD" w:rsidRPr="00290155" w:rsidRDefault="006C11CD" w:rsidP="006C11CD">
      <w:pPr>
        <w:ind w:firstLine="680"/>
        <w:jc w:val="both"/>
        <w:rPr>
          <w:sz w:val="30"/>
        </w:rPr>
      </w:pPr>
      <w:r w:rsidRPr="00290155">
        <w:rPr>
          <w:sz w:val="30"/>
        </w:rPr>
        <w:t>в быту;</w:t>
      </w:r>
    </w:p>
    <w:p w:rsidR="006C11CD" w:rsidRPr="00290155" w:rsidRDefault="006C11CD" w:rsidP="006C11CD">
      <w:pPr>
        <w:pStyle w:val="20"/>
      </w:pPr>
      <w:r w:rsidRPr="00290155">
        <w:t xml:space="preserve">по пути на работу и с работы, кроме несчастных случаев, </w:t>
      </w:r>
      <w:r w:rsidRPr="00290155">
        <w:br/>
        <w:t>происшедших во время следования к месту работы или с работы на транспорте, предоставленном организацией, страхователем, оформленных актом формы Н-1;</w:t>
      </w:r>
    </w:p>
    <w:p w:rsidR="006C11CD" w:rsidRPr="00290155" w:rsidRDefault="006C11CD" w:rsidP="006C11CD">
      <w:pPr>
        <w:ind w:firstLine="680"/>
        <w:jc w:val="both"/>
        <w:rPr>
          <w:sz w:val="30"/>
        </w:rPr>
      </w:pPr>
      <w:r w:rsidRPr="00290155">
        <w:rPr>
          <w:sz w:val="30"/>
        </w:rPr>
        <w:t>происшедших в году, предшествующем отчетному, но оформленных актом формы Н-1 в отчетном году;</w:t>
      </w:r>
    </w:p>
    <w:p w:rsidR="009D1145" w:rsidRPr="00290155" w:rsidRDefault="006C11CD" w:rsidP="006C11CD">
      <w:pPr>
        <w:ind w:firstLine="680"/>
        <w:jc w:val="both"/>
        <w:rPr>
          <w:sz w:val="30"/>
          <w:szCs w:val="30"/>
        </w:rPr>
      </w:pPr>
      <w:r w:rsidRPr="00290155">
        <w:rPr>
          <w:sz w:val="30"/>
        </w:rPr>
        <w:t xml:space="preserve">оформленных актом о непроизводственном несчастном случае </w:t>
      </w:r>
      <w:r w:rsidRPr="00290155">
        <w:rPr>
          <w:sz w:val="30"/>
          <w:szCs w:val="30"/>
        </w:rPr>
        <w:t xml:space="preserve"> форм</w:t>
      </w:r>
      <w:r w:rsidR="0091311C" w:rsidRPr="00290155">
        <w:rPr>
          <w:sz w:val="30"/>
          <w:szCs w:val="30"/>
        </w:rPr>
        <w:t>ы</w:t>
      </w:r>
      <w:r w:rsidRPr="00290155">
        <w:rPr>
          <w:sz w:val="30"/>
          <w:szCs w:val="30"/>
        </w:rPr>
        <w:t xml:space="preserve"> НП, согласно приложению 5 к постановлению Министерства труда и социальной защиты Республики Беларусь и Министерства здравоохранения Республики Беларусь от 14 августа 2015 г. № 51/94.</w:t>
      </w:r>
    </w:p>
    <w:p w:rsidR="00353F09" w:rsidRPr="00290155" w:rsidRDefault="00E2533E" w:rsidP="006C11CD">
      <w:pPr>
        <w:ind w:firstLine="680"/>
        <w:jc w:val="both"/>
        <w:rPr>
          <w:sz w:val="30"/>
        </w:rPr>
      </w:pPr>
      <w:r w:rsidRPr="00290155">
        <w:rPr>
          <w:sz w:val="30"/>
        </w:rPr>
        <w:t>7</w:t>
      </w:r>
      <w:r w:rsidR="00353F09" w:rsidRPr="00290155">
        <w:rPr>
          <w:sz w:val="30"/>
        </w:rPr>
        <w:t xml:space="preserve">. По строке 01 отражаются данные о численности потерпевших при несчастных случаях на производстве с утратой трудоспособности на </w:t>
      </w:r>
      <w:r w:rsidR="00CA41B6" w:rsidRPr="00290155">
        <w:rPr>
          <w:sz w:val="30"/>
        </w:rPr>
        <w:br/>
      </w:r>
      <w:r w:rsidR="00353F09" w:rsidRPr="00290155">
        <w:rPr>
          <w:sz w:val="30"/>
        </w:rPr>
        <w:t>1 рабочий день и более, включая потерпевших со смертельным исходом.</w:t>
      </w:r>
    </w:p>
    <w:p w:rsidR="00353F09" w:rsidRPr="00290155" w:rsidRDefault="00E2533E" w:rsidP="00EA6324">
      <w:pPr>
        <w:ind w:firstLine="680"/>
        <w:jc w:val="both"/>
        <w:rPr>
          <w:sz w:val="30"/>
        </w:rPr>
      </w:pPr>
      <w:r w:rsidRPr="00290155">
        <w:rPr>
          <w:sz w:val="30"/>
        </w:rPr>
        <w:t>8</w:t>
      </w:r>
      <w:r w:rsidR="00353F09" w:rsidRPr="00290155">
        <w:rPr>
          <w:sz w:val="30"/>
        </w:rPr>
        <w:t>. По строке 05 отражаются данные о численности потерпевших со смертельным исходом, смерть которых наступила в отчетном году, независимо от времени происшествия несчастного случая.</w:t>
      </w:r>
    </w:p>
    <w:p w:rsidR="0015545B" w:rsidRPr="00290155" w:rsidRDefault="00E2533E" w:rsidP="0015545B">
      <w:pPr>
        <w:ind w:firstLine="680"/>
        <w:jc w:val="both"/>
        <w:rPr>
          <w:sz w:val="30"/>
        </w:rPr>
      </w:pPr>
      <w:r w:rsidRPr="00290155">
        <w:rPr>
          <w:sz w:val="30"/>
        </w:rPr>
        <w:t>9</w:t>
      </w:r>
      <w:r w:rsidR="0015545B" w:rsidRPr="00290155">
        <w:rPr>
          <w:sz w:val="30"/>
        </w:rPr>
        <w:t>. Если смерть потерпевшего от несчастного случая на производстве, произошедшего в предшествующем году, наступила в отчетном году, то данные о нем отражаются по строке 05 – численность потерпевших со смертельным исходом (в отчете за предыдущий год данные о нем отражены по строке 01 – численность потерпевших при несчастных случаях на производстве с утратой трудоспособности на 1 рабочий день и более и со смертельным исходом).</w:t>
      </w:r>
    </w:p>
    <w:p w:rsidR="00353F09" w:rsidRPr="00290155" w:rsidRDefault="00E2533E" w:rsidP="00EA6324">
      <w:pPr>
        <w:ind w:firstLine="680"/>
        <w:jc w:val="both"/>
        <w:rPr>
          <w:sz w:val="30"/>
        </w:rPr>
      </w:pPr>
      <w:r w:rsidRPr="00290155">
        <w:rPr>
          <w:sz w:val="30"/>
        </w:rPr>
        <w:t>10</w:t>
      </w:r>
      <w:r w:rsidR="00353F09" w:rsidRPr="00290155">
        <w:rPr>
          <w:sz w:val="30"/>
        </w:rPr>
        <w:t>. По строке 09 отражаются данные о количестве дней нетрудоспособности потерпевших</w:t>
      </w:r>
      <w:r w:rsidR="00723A2D">
        <w:rPr>
          <w:sz w:val="30"/>
        </w:rPr>
        <w:t xml:space="preserve"> </w:t>
      </w:r>
      <w:r w:rsidR="00723A2D" w:rsidRPr="007E73C5">
        <w:rPr>
          <w:sz w:val="30"/>
        </w:rPr>
        <w:t xml:space="preserve">(в связи с производственной травмой, </w:t>
      </w:r>
      <w:r w:rsidR="007E73C5">
        <w:rPr>
          <w:sz w:val="30"/>
        </w:rPr>
        <w:br/>
      </w:r>
      <w:r w:rsidR="00723A2D" w:rsidRPr="007E73C5">
        <w:rPr>
          <w:sz w:val="30"/>
        </w:rPr>
        <w:t>а также ее последствиями)</w:t>
      </w:r>
      <w:r w:rsidR="00353F09" w:rsidRPr="00290155">
        <w:rPr>
          <w:sz w:val="30"/>
        </w:rPr>
        <w:t xml:space="preserve">, приходящихся на рабочие дни, а также дней нетрудоспособности лиц, временная нетрудоспособность которых </w:t>
      </w:r>
      <w:r w:rsidR="00353F09" w:rsidRPr="00290155">
        <w:rPr>
          <w:sz w:val="30"/>
        </w:rPr>
        <w:lastRenderedPageBreak/>
        <w:t xml:space="preserve">продлилась с конца предыдущего года и была оформлена одним листком нетрудоспособности. </w:t>
      </w:r>
    </w:p>
    <w:p w:rsidR="00353F09" w:rsidRPr="00290155" w:rsidRDefault="00353F09" w:rsidP="00EA6324">
      <w:pPr>
        <w:ind w:firstLine="680"/>
        <w:jc w:val="both"/>
        <w:rPr>
          <w:sz w:val="30"/>
        </w:rPr>
      </w:pPr>
      <w:r w:rsidRPr="00290155">
        <w:rPr>
          <w:sz w:val="30"/>
        </w:rPr>
        <w:t xml:space="preserve">Например, несчастный случай на производстве произошел в ноябре месяце года, предшествующего отчетному, и потерпевший проболел до февраля отчетного года. В этом случае данные о потерпевшем отражаются в отчете за тот год, в котором произошел несчастный случай, а дни нетрудоспособности, оформленные одним листком нетрудоспособности за период с ноября по февраль – в отчетном году. </w:t>
      </w:r>
    </w:p>
    <w:p w:rsidR="00353F09" w:rsidRPr="00290155" w:rsidRDefault="00353F09" w:rsidP="00EA6324">
      <w:pPr>
        <w:ind w:firstLine="680"/>
        <w:jc w:val="both"/>
        <w:rPr>
          <w:sz w:val="30"/>
        </w:rPr>
      </w:pPr>
      <w:r w:rsidRPr="00290155">
        <w:rPr>
          <w:sz w:val="30"/>
        </w:rPr>
        <w:t xml:space="preserve">Если потерпевшему выдано несколько листков нетрудоспособности, то в отчете отражаются данные о количестве дней нетрудоспособности только по тем листкам нетрудоспособности, которые оформлены и оплачены в отчетном году. Если дни нетрудоспособности оформлены и </w:t>
      </w:r>
      <w:r w:rsidR="002C3AE0" w:rsidRPr="00290155">
        <w:rPr>
          <w:sz w:val="30"/>
        </w:rPr>
        <w:br/>
      </w:r>
      <w:r w:rsidRPr="00290155">
        <w:rPr>
          <w:sz w:val="30"/>
        </w:rPr>
        <w:t>оплачены листками нетрудоспособности в следующем за отчетным году, то они будут отражаться в отчете следующего года.</w:t>
      </w:r>
    </w:p>
    <w:p w:rsidR="00353F09" w:rsidRPr="00290155" w:rsidRDefault="00BA4D63" w:rsidP="00EA6324">
      <w:pPr>
        <w:ind w:firstLine="680"/>
        <w:jc w:val="both"/>
        <w:rPr>
          <w:sz w:val="30"/>
        </w:rPr>
      </w:pPr>
      <w:r w:rsidRPr="00290155">
        <w:rPr>
          <w:sz w:val="30"/>
        </w:rPr>
        <w:t>1</w:t>
      </w:r>
      <w:r w:rsidR="00E2533E" w:rsidRPr="00290155">
        <w:rPr>
          <w:sz w:val="30"/>
        </w:rPr>
        <w:t>1</w:t>
      </w:r>
      <w:r w:rsidR="00353F09" w:rsidRPr="00290155">
        <w:rPr>
          <w:sz w:val="30"/>
        </w:rPr>
        <w:t>. Данные о потерпевших, находившихся в состоянии алкогольного, наркотического или токсического опьянения, заполняются на основании записи в пункте 8 акта формы Н-1.</w:t>
      </w:r>
    </w:p>
    <w:p w:rsidR="00EA6324" w:rsidRPr="00290155" w:rsidRDefault="0025582D" w:rsidP="001853C2">
      <w:pPr>
        <w:ind w:firstLine="680"/>
        <w:jc w:val="both"/>
        <w:rPr>
          <w:sz w:val="30"/>
        </w:rPr>
      </w:pPr>
      <w:r w:rsidRPr="00290155">
        <w:rPr>
          <w:sz w:val="30"/>
        </w:rPr>
        <w:t xml:space="preserve">12. </w:t>
      </w:r>
      <w:r w:rsidR="001853C2" w:rsidRPr="00290155">
        <w:rPr>
          <w:sz w:val="30"/>
        </w:rPr>
        <w:t xml:space="preserve">По </w:t>
      </w:r>
      <w:hyperlink w:anchor="P412" w:history="1">
        <w:r w:rsidR="001853C2" w:rsidRPr="00290155">
          <w:rPr>
            <w:sz w:val="30"/>
          </w:rPr>
          <w:t xml:space="preserve">строкам </w:t>
        </w:r>
      </w:hyperlink>
      <w:r w:rsidR="00D816C8" w:rsidRPr="00290155">
        <w:rPr>
          <w:sz w:val="30"/>
        </w:rPr>
        <w:t xml:space="preserve">12 – </w:t>
      </w:r>
      <w:r w:rsidR="001853C2" w:rsidRPr="00290155">
        <w:rPr>
          <w:sz w:val="30"/>
        </w:rPr>
        <w:t>14 отражаются данные о потерпевших при несчастных случаях на производстве работниках-</w:t>
      </w:r>
      <w:r w:rsidR="001853C2" w:rsidRPr="00290155">
        <w:rPr>
          <w:spacing w:val="-4"/>
          <w:sz w:val="30"/>
        </w:rPr>
        <w:t>инвалидах всех групп инвалидности (для работников в возрасте до 18 лет –</w:t>
      </w:r>
      <w:r w:rsidR="00D816C8" w:rsidRPr="00290155">
        <w:rPr>
          <w:sz w:val="30"/>
        </w:rPr>
        <w:t xml:space="preserve"> всех степеней утраты здоровья</w:t>
      </w:r>
      <w:r w:rsidR="001853C2" w:rsidRPr="00290155">
        <w:rPr>
          <w:sz w:val="30"/>
        </w:rPr>
        <w:t>), устанавливаемых медико-реабилитационными экспертными комиссиями.</w:t>
      </w:r>
    </w:p>
    <w:p w:rsidR="001853C2" w:rsidRPr="00290155" w:rsidRDefault="001853C2" w:rsidP="001853C2">
      <w:pPr>
        <w:ind w:firstLine="680"/>
        <w:jc w:val="both"/>
      </w:pPr>
    </w:p>
    <w:p w:rsidR="00353F09" w:rsidRDefault="00CA41B6">
      <w:pPr>
        <w:pStyle w:val="3"/>
      </w:pPr>
      <w:r w:rsidRPr="00290155">
        <w:t>П</w:t>
      </w:r>
      <w:r w:rsidR="00353F09" w:rsidRPr="00290155">
        <w:t>римечание. Терминология, применяемая в настоящих Указаниях, используется только для заполнения отчета.</w:t>
      </w:r>
    </w:p>
    <w:p w:rsidR="0062640B" w:rsidRDefault="0062640B">
      <w:pPr>
        <w:pStyle w:val="3"/>
      </w:pPr>
    </w:p>
    <w:p w:rsidR="0062640B" w:rsidRDefault="0062640B" w:rsidP="0062640B">
      <w:pPr>
        <w:pStyle w:val="3"/>
      </w:pPr>
    </w:p>
    <w:sectPr w:rsidR="0062640B" w:rsidSect="00D14C4C">
      <w:headerReference w:type="even" r:id="rId11"/>
      <w:head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D8" w:rsidRDefault="00E270D8">
      <w:r>
        <w:separator/>
      </w:r>
    </w:p>
  </w:endnote>
  <w:endnote w:type="continuationSeparator" w:id="0">
    <w:p w:rsidR="00E270D8" w:rsidRDefault="00E2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D8" w:rsidRDefault="00E270D8">
      <w:r>
        <w:separator/>
      </w:r>
    </w:p>
  </w:footnote>
  <w:footnote w:type="continuationSeparator" w:id="0">
    <w:p w:rsidR="00E270D8" w:rsidRDefault="00E27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AA" w:rsidRDefault="00CE4D13" w:rsidP="003E1EAA">
    <w:pPr>
      <w:pStyle w:val="a4"/>
      <w:framePr w:wrap="around" w:vAnchor="text" w:hAnchor="margin" w:xAlign="center" w:y="1"/>
      <w:rPr>
        <w:rStyle w:val="a5"/>
      </w:rPr>
    </w:pPr>
    <w:r>
      <w:rPr>
        <w:rStyle w:val="a5"/>
      </w:rPr>
      <w:fldChar w:fldCharType="begin"/>
    </w:r>
    <w:r w:rsidR="003E1EAA">
      <w:rPr>
        <w:rStyle w:val="a5"/>
      </w:rPr>
      <w:instrText xml:space="preserve">PAGE  </w:instrText>
    </w:r>
    <w:r>
      <w:rPr>
        <w:rStyle w:val="a5"/>
      </w:rPr>
      <w:fldChar w:fldCharType="end"/>
    </w:r>
  </w:p>
  <w:p w:rsidR="003E1EAA" w:rsidRDefault="003E1E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AA" w:rsidRDefault="00CE4D13" w:rsidP="003E1EAA">
    <w:pPr>
      <w:pStyle w:val="a4"/>
      <w:framePr w:wrap="around" w:vAnchor="text" w:hAnchor="margin" w:xAlign="center" w:y="1"/>
      <w:rPr>
        <w:rStyle w:val="a5"/>
      </w:rPr>
    </w:pPr>
    <w:r>
      <w:rPr>
        <w:rStyle w:val="a5"/>
      </w:rPr>
      <w:fldChar w:fldCharType="begin"/>
    </w:r>
    <w:r w:rsidR="003E1EAA">
      <w:rPr>
        <w:rStyle w:val="a5"/>
      </w:rPr>
      <w:instrText xml:space="preserve">PAGE  </w:instrText>
    </w:r>
    <w:r>
      <w:rPr>
        <w:rStyle w:val="a5"/>
      </w:rPr>
      <w:fldChar w:fldCharType="separate"/>
    </w:r>
    <w:r w:rsidR="005C1152">
      <w:rPr>
        <w:rStyle w:val="a5"/>
        <w:noProof/>
      </w:rPr>
      <w:t>2</w:t>
    </w:r>
    <w:r>
      <w:rPr>
        <w:rStyle w:val="a5"/>
      </w:rPr>
      <w:fldChar w:fldCharType="end"/>
    </w:r>
  </w:p>
  <w:p w:rsidR="003E1EAA" w:rsidRDefault="003E1E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01"/>
    <w:rsid w:val="000030A2"/>
    <w:rsid w:val="00017990"/>
    <w:rsid w:val="00023170"/>
    <w:rsid w:val="00026754"/>
    <w:rsid w:val="000354E5"/>
    <w:rsid w:val="000A0C7F"/>
    <w:rsid w:val="000A2807"/>
    <w:rsid w:val="000B3C8E"/>
    <w:rsid w:val="000B3D12"/>
    <w:rsid w:val="000B4109"/>
    <w:rsid w:val="000D0995"/>
    <w:rsid w:val="000E25DC"/>
    <w:rsid w:val="000E773A"/>
    <w:rsid w:val="000F5737"/>
    <w:rsid w:val="00112290"/>
    <w:rsid w:val="001150FE"/>
    <w:rsid w:val="0011695F"/>
    <w:rsid w:val="001365FC"/>
    <w:rsid w:val="0015545B"/>
    <w:rsid w:val="0015577F"/>
    <w:rsid w:val="0018417C"/>
    <w:rsid w:val="001853C2"/>
    <w:rsid w:val="001A6E8D"/>
    <w:rsid w:val="001B6AE3"/>
    <w:rsid w:val="001B7E30"/>
    <w:rsid w:val="001D115A"/>
    <w:rsid w:val="001E1877"/>
    <w:rsid w:val="00224A13"/>
    <w:rsid w:val="002262E3"/>
    <w:rsid w:val="00232106"/>
    <w:rsid w:val="00235069"/>
    <w:rsid w:val="002436C9"/>
    <w:rsid w:val="00243817"/>
    <w:rsid w:val="002463DD"/>
    <w:rsid w:val="0025582D"/>
    <w:rsid w:val="002611CC"/>
    <w:rsid w:val="002656B3"/>
    <w:rsid w:val="00265C13"/>
    <w:rsid w:val="00272CAE"/>
    <w:rsid w:val="0027743A"/>
    <w:rsid w:val="0028753C"/>
    <w:rsid w:val="00290155"/>
    <w:rsid w:val="00293029"/>
    <w:rsid w:val="00297804"/>
    <w:rsid w:val="002A38F4"/>
    <w:rsid w:val="002A3E26"/>
    <w:rsid w:val="002B312C"/>
    <w:rsid w:val="002C3AE0"/>
    <w:rsid w:val="002D664C"/>
    <w:rsid w:val="002D6CE6"/>
    <w:rsid w:val="002E3F63"/>
    <w:rsid w:val="002E4587"/>
    <w:rsid w:val="003040B6"/>
    <w:rsid w:val="0032390A"/>
    <w:rsid w:val="003354CF"/>
    <w:rsid w:val="00353F09"/>
    <w:rsid w:val="00365DA7"/>
    <w:rsid w:val="00372691"/>
    <w:rsid w:val="00394699"/>
    <w:rsid w:val="003B011C"/>
    <w:rsid w:val="003B3B73"/>
    <w:rsid w:val="003B50A3"/>
    <w:rsid w:val="003D55BF"/>
    <w:rsid w:val="003E1EAA"/>
    <w:rsid w:val="003F1D80"/>
    <w:rsid w:val="003F2C53"/>
    <w:rsid w:val="003F3C1B"/>
    <w:rsid w:val="00420E74"/>
    <w:rsid w:val="00423A2C"/>
    <w:rsid w:val="00441C50"/>
    <w:rsid w:val="00460C35"/>
    <w:rsid w:val="00482B1B"/>
    <w:rsid w:val="00492C03"/>
    <w:rsid w:val="00494BD2"/>
    <w:rsid w:val="0049512F"/>
    <w:rsid w:val="004F1EEC"/>
    <w:rsid w:val="004F75F7"/>
    <w:rsid w:val="004F7FA6"/>
    <w:rsid w:val="00500260"/>
    <w:rsid w:val="00517347"/>
    <w:rsid w:val="005220E5"/>
    <w:rsid w:val="00525041"/>
    <w:rsid w:val="00550184"/>
    <w:rsid w:val="005749B1"/>
    <w:rsid w:val="0058313E"/>
    <w:rsid w:val="005C1152"/>
    <w:rsid w:val="005C1C0C"/>
    <w:rsid w:val="005C22C6"/>
    <w:rsid w:val="005C2C61"/>
    <w:rsid w:val="005D0054"/>
    <w:rsid w:val="005D0B42"/>
    <w:rsid w:val="005D47E0"/>
    <w:rsid w:val="005D4848"/>
    <w:rsid w:val="005D70D5"/>
    <w:rsid w:val="0062584A"/>
    <w:rsid w:val="0062640B"/>
    <w:rsid w:val="0064122D"/>
    <w:rsid w:val="0065603C"/>
    <w:rsid w:val="00662E9E"/>
    <w:rsid w:val="006718EE"/>
    <w:rsid w:val="00683501"/>
    <w:rsid w:val="006A0D8B"/>
    <w:rsid w:val="006A450D"/>
    <w:rsid w:val="006A603E"/>
    <w:rsid w:val="006B5108"/>
    <w:rsid w:val="006B6069"/>
    <w:rsid w:val="006B6446"/>
    <w:rsid w:val="006B65B6"/>
    <w:rsid w:val="006C11CD"/>
    <w:rsid w:val="006D491C"/>
    <w:rsid w:val="006E2ED8"/>
    <w:rsid w:val="006F2E85"/>
    <w:rsid w:val="006F7141"/>
    <w:rsid w:val="007175E6"/>
    <w:rsid w:val="00723A2D"/>
    <w:rsid w:val="007532CA"/>
    <w:rsid w:val="00760D03"/>
    <w:rsid w:val="007754B9"/>
    <w:rsid w:val="007776AB"/>
    <w:rsid w:val="00786C94"/>
    <w:rsid w:val="00791424"/>
    <w:rsid w:val="007A23BC"/>
    <w:rsid w:val="007A62CB"/>
    <w:rsid w:val="007C3A1D"/>
    <w:rsid w:val="007D23D0"/>
    <w:rsid w:val="007E73C5"/>
    <w:rsid w:val="00800B45"/>
    <w:rsid w:val="00815E7F"/>
    <w:rsid w:val="00821936"/>
    <w:rsid w:val="0084698A"/>
    <w:rsid w:val="00846E2A"/>
    <w:rsid w:val="008556A2"/>
    <w:rsid w:val="00856149"/>
    <w:rsid w:val="00870FC3"/>
    <w:rsid w:val="00890AC8"/>
    <w:rsid w:val="008924CF"/>
    <w:rsid w:val="008A0B48"/>
    <w:rsid w:val="008B18A5"/>
    <w:rsid w:val="008B21AB"/>
    <w:rsid w:val="008C089D"/>
    <w:rsid w:val="008C5A75"/>
    <w:rsid w:val="008D2251"/>
    <w:rsid w:val="008E59D6"/>
    <w:rsid w:val="00904519"/>
    <w:rsid w:val="0091311C"/>
    <w:rsid w:val="009717DF"/>
    <w:rsid w:val="00971F15"/>
    <w:rsid w:val="00981FC8"/>
    <w:rsid w:val="009B5473"/>
    <w:rsid w:val="009B5C79"/>
    <w:rsid w:val="009C057B"/>
    <w:rsid w:val="009C4886"/>
    <w:rsid w:val="009D1145"/>
    <w:rsid w:val="009D6DD6"/>
    <w:rsid w:val="009E15F0"/>
    <w:rsid w:val="009E76DD"/>
    <w:rsid w:val="009F1DC8"/>
    <w:rsid w:val="00A01D17"/>
    <w:rsid w:val="00A14768"/>
    <w:rsid w:val="00A14C19"/>
    <w:rsid w:val="00A1749B"/>
    <w:rsid w:val="00A17879"/>
    <w:rsid w:val="00A47EDA"/>
    <w:rsid w:val="00A50B77"/>
    <w:rsid w:val="00A740EF"/>
    <w:rsid w:val="00A82C50"/>
    <w:rsid w:val="00A84F44"/>
    <w:rsid w:val="00A957A0"/>
    <w:rsid w:val="00AB6579"/>
    <w:rsid w:val="00AE66AA"/>
    <w:rsid w:val="00AF17E5"/>
    <w:rsid w:val="00AF54AB"/>
    <w:rsid w:val="00AF587B"/>
    <w:rsid w:val="00B15D53"/>
    <w:rsid w:val="00B2257D"/>
    <w:rsid w:val="00B41CC4"/>
    <w:rsid w:val="00B528FF"/>
    <w:rsid w:val="00B72846"/>
    <w:rsid w:val="00B81BF3"/>
    <w:rsid w:val="00B875ED"/>
    <w:rsid w:val="00B95ABD"/>
    <w:rsid w:val="00BA4D63"/>
    <w:rsid w:val="00BC27D8"/>
    <w:rsid w:val="00BC3A67"/>
    <w:rsid w:val="00BC76A0"/>
    <w:rsid w:val="00BD6A0E"/>
    <w:rsid w:val="00BE46FF"/>
    <w:rsid w:val="00BF1E03"/>
    <w:rsid w:val="00C203E8"/>
    <w:rsid w:val="00C21523"/>
    <w:rsid w:val="00C21FC6"/>
    <w:rsid w:val="00C27909"/>
    <w:rsid w:val="00C529F5"/>
    <w:rsid w:val="00C61B52"/>
    <w:rsid w:val="00C76B45"/>
    <w:rsid w:val="00C97FC4"/>
    <w:rsid w:val="00CA41B6"/>
    <w:rsid w:val="00CB6A19"/>
    <w:rsid w:val="00CC2296"/>
    <w:rsid w:val="00CC536C"/>
    <w:rsid w:val="00CE4D13"/>
    <w:rsid w:val="00CF0099"/>
    <w:rsid w:val="00D14183"/>
    <w:rsid w:val="00D14C4C"/>
    <w:rsid w:val="00D22907"/>
    <w:rsid w:val="00D23C55"/>
    <w:rsid w:val="00D35E26"/>
    <w:rsid w:val="00D51311"/>
    <w:rsid w:val="00D51946"/>
    <w:rsid w:val="00D52D6D"/>
    <w:rsid w:val="00D816C8"/>
    <w:rsid w:val="00DB7949"/>
    <w:rsid w:val="00DD05F6"/>
    <w:rsid w:val="00DF513F"/>
    <w:rsid w:val="00E06A3B"/>
    <w:rsid w:val="00E2533E"/>
    <w:rsid w:val="00E26A31"/>
    <w:rsid w:val="00E270D8"/>
    <w:rsid w:val="00E34F1C"/>
    <w:rsid w:val="00E43161"/>
    <w:rsid w:val="00E55887"/>
    <w:rsid w:val="00E679B6"/>
    <w:rsid w:val="00E73668"/>
    <w:rsid w:val="00E86693"/>
    <w:rsid w:val="00EA25F4"/>
    <w:rsid w:val="00EA6324"/>
    <w:rsid w:val="00EB0E87"/>
    <w:rsid w:val="00EC0C59"/>
    <w:rsid w:val="00EC58B9"/>
    <w:rsid w:val="00EE3CBF"/>
    <w:rsid w:val="00EF0301"/>
    <w:rsid w:val="00EF082A"/>
    <w:rsid w:val="00EF1771"/>
    <w:rsid w:val="00EF7195"/>
    <w:rsid w:val="00F27531"/>
    <w:rsid w:val="00F41E47"/>
    <w:rsid w:val="00F4580D"/>
    <w:rsid w:val="00F567C6"/>
    <w:rsid w:val="00F622A2"/>
    <w:rsid w:val="00F65102"/>
    <w:rsid w:val="00FA62F3"/>
    <w:rsid w:val="00FB6A4A"/>
    <w:rsid w:val="00FB7A44"/>
    <w:rsid w:val="00FB7CF3"/>
    <w:rsid w:val="00FC7E31"/>
    <w:rsid w:val="00FD5626"/>
    <w:rsid w:val="00FF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FC8"/>
    <w:rPr>
      <w:sz w:val="24"/>
      <w:szCs w:val="24"/>
    </w:rPr>
  </w:style>
  <w:style w:type="paragraph" w:styleId="2">
    <w:name w:val="heading 2"/>
    <w:basedOn w:val="a"/>
    <w:next w:val="a"/>
    <w:qFormat/>
    <w:rsid w:val="00981FC8"/>
    <w:pPr>
      <w:keepNext/>
      <w:tabs>
        <w:tab w:val="left" w:pos="6096"/>
      </w:tabs>
      <w:ind w:left="5103" w:right="-57"/>
      <w:outlineLvl w:val="1"/>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1FC8"/>
    <w:pPr>
      <w:spacing w:after="120"/>
      <w:ind w:left="283"/>
    </w:pPr>
    <w:rPr>
      <w:sz w:val="20"/>
      <w:szCs w:val="20"/>
    </w:rPr>
  </w:style>
  <w:style w:type="paragraph" w:styleId="a4">
    <w:name w:val="header"/>
    <w:basedOn w:val="a"/>
    <w:rsid w:val="00981FC8"/>
    <w:pPr>
      <w:tabs>
        <w:tab w:val="center" w:pos="4677"/>
        <w:tab w:val="right" w:pos="9355"/>
      </w:tabs>
    </w:pPr>
  </w:style>
  <w:style w:type="character" w:styleId="a5">
    <w:name w:val="page number"/>
    <w:basedOn w:val="a0"/>
    <w:rsid w:val="00981FC8"/>
  </w:style>
  <w:style w:type="paragraph" w:styleId="a6">
    <w:name w:val="Body Text"/>
    <w:basedOn w:val="a"/>
    <w:rsid w:val="00981FC8"/>
    <w:pPr>
      <w:jc w:val="both"/>
    </w:pPr>
    <w:rPr>
      <w:sz w:val="30"/>
    </w:rPr>
  </w:style>
  <w:style w:type="paragraph" w:styleId="20">
    <w:name w:val="Body Text Indent 2"/>
    <w:basedOn w:val="a"/>
    <w:rsid w:val="00981FC8"/>
    <w:pPr>
      <w:ind w:firstLine="680"/>
      <w:jc w:val="both"/>
    </w:pPr>
    <w:rPr>
      <w:sz w:val="30"/>
    </w:rPr>
  </w:style>
  <w:style w:type="paragraph" w:styleId="3">
    <w:name w:val="Body Text Indent 3"/>
    <w:basedOn w:val="a"/>
    <w:rsid w:val="00981FC8"/>
    <w:pPr>
      <w:ind w:firstLine="709"/>
      <w:jc w:val="both"/>
    </w:pPr>
    <w:rPr>
      <w:sz w:val="20"/>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5603C"/>
    <w:pPr>
      <w:spacing w:after="160" w:line="240" w:lineRule="exact"/>
    </w:pPr>
    <w:rPr>
      <w:sz w:val="28"/>
      <w:szCs w:val="20"/>
      <w:lang w:val="en-US" w:eastAsia="en-US"/>
    </w:rPr>
  </w:style>
  <w:style w:type="paragraph" w:customStyle="1" w:styleId="15">
    <w:name w:val="Обычный + 15 пт"/>
    <w:aliases w:val="По ширине,Первая строка:  1,25 см"/>
    <w:basedOn w:val="a"/>
    <w:rsid w:val="00BF1E03"/>
    <w:pPr>
      <w:ind w:firstLine="709"/>
      <w:jc w:val="both"/>
    </w:pPr>
    <w:rPr>
      <w:sz w:val="30"/>
      <w:szCs w:val="30"/>
    </w:rPr>
  </w:style>
  <w:style w:type="character" w:styleId="a7">
    <w:name w:val="Hyperlink"/>
    <w:rsid w:val="001B6AE3"/>
    <w:rPr>
      <w:color w:val="0000FF"/>
      <w:u w:val="single"/>
    </w:rPr>
  </w:style>
  <w:style w:type="paragraph" w:styleId="a8">
    <w:name w:val="footer"/>
    <w:basedOn w:val="a"/>
    <w:rsid w:val="001B6AE3"/>
    <w:pPr>
      <w:tabs>
        <w:tab w:val="center" w:pos="4677"/>
        <w:tab w:val="right" w:pos="9355"/>
      </w:tabs>
    </w:pPr>
  </w:style>
  <w:style w:type="character" w:styleId="a9">
    <w:name w:val="footnote reference"/>
    <w:semiHidden/>
    <w:rsid w:val="00B15D53"/>
    <w:rPr>
      <w:vertAlign w:val="superscript"/>
    </w:rPr>
  </w:style>
  <w:style w:type="paragraph" w:customStyle="1" w:styleId="ConsPlusNormal">
    <w:name w:val="ConsPlusNormal"/>
    <w:rsid w:val="002656B3"/>
    <w:pPr>
      <w:autoSpaceDE w:val="0"/>
      <w:autoSpaceDN w:val="0"/>
      <w:adjustRightInd w:val="0"/>
    </w:pPr>
    <w:rPr>
      <w:rFonts w:ascii="Arial" w:hAnsi="Arial" w:cs="Arial"/>
    </w:rPr>
  </w:style>
  <w:style w:type="paragraph" w:styleId="aa">
    <w:name w:val="Balloon Text"/>
    <w:basedOn w:val="a"/>
    <w:link w:val="ab"/>
    <w:rsid w:val="007A23BC"/>
    <w:rPr>
      <w:rFonts w:ascii="Tahoma" w:hAnsi="Tahoma" w:cs="Tahoma"/>
      <w:sz w:val="16"/>
      <w:szCs w:val="16"/>
    </w:rPr>
  </w:style>
  <w:style w:type="character" w:customStyle="1" w:styleId="ab">
    <w:name w:val="Текст выноски Знак"/>
    <w:link w:val="aa"/>
    <w:rsid w:val="007A2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FC8"/>
    <w:rPr>
      <w:sz w:val="24"/>
      <w:szCs w:val="24"/>
    </w:rPr>
  </w:style>
  <w:style w:type="paragraph" w:styleId="2">
    <w:name w:val="heading 2"/>
    <w:basedOn w:val="a"/>
    <w:next w:val="a"/>
    <w:qFormat/>
    <w:rsid w:val="00981FC8"/>
    <w:pPr>
      <w:keepNext/>
      <w:tabs>
        <w:tab w:val="left" w:pos="6096"/>
      </w:tabs>
      <w:ind w:left="5103" w:right="-57"/>
      <w:outlineLvl w:val="1"/>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1FC8"/>
    <w:pPr>
      <w:spacing w:after="120"/>
      <w:ind w:left="283"/>
    </w:pPr>
    <w:rPr>
      <w:sz w:val="20"/>
      <w:szCs w:val="20"/>
    </w:rPr>
  </w:style>
  <w:style w:type="paragraph" w:styleId="a4">
    <w:name w:val="header"/>
    <w:basedOn w:val="a"/>
    <w:rsid w:val="00981FC8"/>
    <w:pPr>
      <w:tabs>
        <w:tab w:val="center" w:pos="4677"/>
        <w:tab w:val="right" w:pos="9355"/>
      </w:tabs>
    </w:pPr>
  </w:style>
  <w:style w:type="character" w:styleId="a5">
    <w:name w:val="page number"/>
    <w:basedOn w:val="a0"/>
    <w:rsid w:val="00981FC8"/>
  </w:style>
  <w:style w:type="paragraph" w:styleId="a6">
    <w:name w:val="Body Text"/>
    <w:basedOn w:val="a"/>
    <w:rsid w:val="00981FC8"/>
    <w:pPr>
      <w:jc w:val="both"/>
    </w:pPr>
    <w:rPr>
      <w:sz w:val="30"/>
    </w:rPr>
  </w:style>
  <w:style w:type="paragraph" w:styleId="20">
    <w:name w:val="Body Text Indent 2"/>
    <w:basedOn w:val="a"/>
    <w:rsid w:val="00981FC8"/>
    <w:pPr>
      <w:ind w:firstLine="680"/>
      <w:jc w:val="both"/>
    </w:pPr>
    <w:rPr>
      <w:sz w:val="30"/>
    </w:rPr>
  </w:style>
  <w:style w:type="paragraph" w:styleId="3">
    <w:name w:val="Body Text Indent 3"/>
    <w:basedOn w:val="a"/>
    <w:rsid w:val="00981FC8"/>
    <w:pPr>
      <w:ind w:firstLine="709"/>
      <w:jc w:val="both"/>
    </w:pPr>
    <w:rPr>
      <w:sz w:val="20"/>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5603C"/>
    <w:pPr>
      <w:spacing w:after="160" w:line="240" w:lineRule="exact"/>
    </w:pPr>
    <w:rPr>
      <w:sz w:val="28"/>
      <w:szCs w:val="20"/>
      <w:lang w:val="en-US" w:eastAsia="en-US"/>
    </w:rPr>
  </w:style>
  <w:style w:type="paragraph" w:customStyle="1" w:styleId="15">
    <w:name w:val="Обычный + 15 пт"/>
    <w:aliases w:val="По ширине,Первая строка:  1,25 см"/>
    <w:basedOn w:val="a"/>
    <w:rsid w:val="00BF1E03"/>
    <w:pPr>
      <w:ind w:firstLine="709"/>
      <w:jc w:val="both"/>
    </w:pPr>
    <w:rPr>
      <w:sz w:val="30"/>
      <w:szCs w:val="30"/>
    </w:rPr>
  </w:style>
  <w:style w:type="character" w:styleId="a7">
    <w:name w:val="Hyperlink"/>
    <w:rsid w:val="001B6AE3"/>
    <w:rPr>
      <w:color w:val="0000FF"/>
      <w:u w:val="single"/>
    </w:rPr>
  </w:style>
  <w:style w:type="paragraph" w:styleId="a8">
    <w:name w:val="footer"/>
    <w:basedOn w:val="a"/>
    <w:rsid w:val="001B6AE3"/>
    <w:pPr>
      <w:tabs>
        <w:tab w:val="center" w:pos="4677"/>
        <w:tab w:val="right" w:pos="9355"/>
      </w:tabs>
    </w:pPr>
  </w:style>
  <w:style w:type="character" w:styleId="a9">
    <w:name w:val="footnote reference"/>
    <w:semiHidden/>
    <w:rsid w:val="00B15D53"/>
    <w:rPr>
      <w:vertAlign w:val="superscript"/>
    </w:rPr>
  </w:style>
  <w:style w:type="paragraph" w:customStyle="1" w:styleId="ConsPlusNormal">
    <w:name w:val="ConsPlusNormal"/>
    <w:rsid w:val="002656B3"/>
    <w:pPr>
      <w:autoSpaceDE w:val="0"/>
      <w:autoSpaceDN w:val="0"/>
      <w:adjustRightInd w:val="0"/>
    </w:pPr>
    <w:rPr>
      <w:rFonts w:ascii="Arial" w:hAnsi="Arial" w:cs="Arial"/>
    </w:rPr>
  </w:style>
  <w:style w:type="paragraph" w:styleId="aa">
    <w:name w:val="Balloon Text"/>
    <w:basedOn w:val="a"/>
    <w:link w:val="ab"/>
    <w:rsid w:val="007A23BC"/>
    <w:rPr>
      <w:rFonts w:ascii="Tahoma" w:hAnsi="Tahoma" w:cs="Tahoma"/>
      <w:sz w:val="16"/>
      <w:szCs w:val="16"/>
    </w:rPr>
  </w:style>
  <w:style w:type="character" w:customStyle="1" w:styleId="ab">
    <w:name w:val="Текст выноски Знак"/>
    <w:link w:val="aa"/>
    <w:rsid w:val="007A2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10F666CA79F7AAE299B3F00DA060677AA36ABE72A778DD0ACFE13E8E944E58E60FFF15B7C18C75FD046B5570120D7F6ABE57D66DDE0F2BD2AC24FE6V5Q1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028BBAE28C840D6FDF1DE4ACE425E07A8AB090DB6F3AE12DD07C5ED3ACB3083C9533F69FAE0FE0AC688058053r1h7O" TargetMode="External"/><Relationship Id="rId4" Type="http://schemas.openxmlformats.org/officeDocument/2006/relationships/settings" Target="settings.xml"/><Relationship Id="rId9" Type="http://schemas.openxmlformats.org/officeDocument/2006/relationships/hyperlink" Target="http://www.belstat.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B3F6C2-6974-4C87-875A-54D028D0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8178</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Сорока Татьяна Владимировна</cp:lastModifiedBy>
  <cp:revision>5</cp:revision>
  <cp:lastPrinted>2024-08-23T12:56:00Z</cp:lastPrinted>
  <dcterms:created xsi:type="dcterms:W3CDTF">2024-08-23T12:53:00Z</dcterms:created>
  <dcterms:modified xsi:type="dcterms:W3CDTF">2024-08-27T11:40:00Z</dcterms:modified>
</cp:coreProperties>
</file>