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3-2/22064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 </w:t>
      </w:r>
      <w:r>
        <w:rPr>
          <w:rFonts w:ascii="Arial" w:hAnsi="Arial" w:cs="Arial"/>
          <w:b/>
          <w:bCs/>
          <w:color w:val="000000"/>
        </w:rPr>
        <w:t>июля</w:t>
      </w:r>
      <w:r>
        <w:rPr>
          <w:rFonts w:ascii="Arial" w:hAnsi="Arial" w:cs="Arial"/>
          <w:b/>
          <w:bCs/>
          <w:color w:val="000000"/>
        </w:rPr>
        <w:t xml:space="preserve"> 2025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285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95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</w:t>
      </w:r>
      <w:r>
        <w:rPr>
          <w:rFonts w:ascii="Arial" w:hAnsi="Arial" w:cs="Arial"/>
          <w:color w:val="000000"/>
        </w:rPr>
        <w:t>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>).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D0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Президент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D0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Лукашенко</w:t>
            </w:r>
          </w:p>
        </w:tc>
      </w:tr>
    </w:tbl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74"/>
      <w:bookmarkEnd w:id="10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" w:name="75"/>
      <w:bookmarkEnd w:id="11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76"/>
      <w:bookmarkEnd w:id="12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" w:name="77"/>
      <w:bookmarkEnd w:id="13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4" w:name="12"/>
      <w:bookmarkEnd w:id="14"/>
      <w:r>
        <w:rPr>
          <w:rFonts w:ascii="Arial" w:hAnsi="Arial" w:cs="Arial"/>
          <w:color w:val="000000"/>
        </w:rPr>
        <w:t>Приложение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5" w:name="13"/>
      <w:bookmarkEnd w:id="1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6" w:name="78"/>
      <w:bookmarkEnd w:id="16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7" w:name="79"/>
      <w:bookmarkEnd w:id="17"/>
      <w:r>
        <w:rPr>
          <w:rFonts w:ascii="Arial" w:hAnsi="Arial" w:cs="Arial"/>
          <w:color w:val="000000"/>
        </w:rPr>
        <w:t>21.07.2025 N 285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14"/>
      <w:bookmarkEnd w:id="18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  <w:r>
        <w:rPr>
          <w:rFonts w:ascii="Arial" w:hAnsi="Arial" w:cs="Arial"/>
          <w:b/>
          <w:bCs/>
          <w:color w:val="000000"/>
        </w:rPr>
        <w:t>,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ВНОСИМЫЕ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2 </w:t>
      </w:r>
      <w:r>
        <w:rPr>
          <w:rFonts w:ascii="Arial" w:hAnsi="Arial" w:cs="Arial"/>
          <w:b/>
          <w:bCs/>
          <w:color w:val="000000"/>
        </w:rPr>
        <w:t>МАРТА</w:t>
      </w:r>
      <w:r>
        <w:rPr>
          <w:rFonts w:ascii="Arial" w:hAnsi="Arial" w:cs="Arial"/>
          <w:b/>
          <w:bCs/>
          <w:color w:val="000000"/>
        </w:rPr>
        <w:t xml:space="preserve"> 2011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95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" w:name="16"/>
      <w:bookmarkEnd w:id="19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17"/>
      <w:bookmarkEnd w:id="20"/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95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</w:t>
      </w:r>
      <w:r>
        <w:rPr>
          <w:rFonts w:ascii="Arial" w:hAnsi="Arial" w:cs="Arial"/>
          <w:color w:val="000000"/>
        </w:rPr>
        <w:t>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18"/>
      <w:bookmarkEnd w:id="21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2" w:name="19"/>
      <w:bookmarkEnd w:id="22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color w:val="000000"/>
        </w:rPr>
      </w:pPr>
      <w:bookmarkStart w:id="23" w:name="20"/>
      <w:bookmarkEnd w:id="23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4" w:name="21"/>
      <w:bookmarkEnd w:id="24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2"/>
      <w:bookmarkEnd w:id="25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3"/>
      <w:bookmarkEnd w:id="2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обработки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сопоставимости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&lt;*&gt;: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4"/>
      <w:bookmarkEnd w:id="27"/>
      <w:r>
        <w:rPr>
          <w:rFonts w:ascii="Arial" w:hAnsi="Arial" w:cs="Arial"/>
          <w:color w:val="000000"/>
        </w:rPr>
        <w:t>--------------------------------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5"/>
      <w:bookmarkEnd w:id="28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документированная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получаемая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властных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80"/>
      <w:bookmarkEnd w:id="29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6"/>
      <w:bookmarkEnd w:id="3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7"/>
      <w:bookmarkEnd w:id="31"/>
      <w:r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>):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8"/>
      <w:bookmarkEnd w:id="32"/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регулярной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>);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29"/>
      <w:bookmarkEnd w:id="33"/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>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ведом</w:t>
      </w:r>
      <w:r>
        <w:rPr>
          <w:rFonts w:ascii="Arial" w:hAnsi="Arial" w:cs="Arial"/>
          <w:color w:val="000000"/>
        </w:rPr>
        <w:t>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).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0"/>
      <w:bookmarkEnd w:id="34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1"/>
      <w:bookmarkEnd w:id="35"/>
      <w:r>
        <w:rPr>
          <w:rFonts w:ascii="Arial" w:hAnsi="Arial" w:cs="Arial"/>
          <w:color w:val="000000"/>
        </w:rPr>
        <w:lastRenderedPageBreak/>
        <w:t>утверждает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вносит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2"/>
      <w:bookmarkEnd w:id="36"/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структуру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собираемой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обрабатываемой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применяемые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3"/>
      <w:bookmarkEnd w:id="37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</w:t>
      </w:r>
      <w:r>
        <w:rPr>
          <w:rFonts w:ascii="Arial" w:hAnsi="Arial" w:cs="Arial"/>
          <w:color w:val="000000"/>
        </w:rPr>
        <w:t>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&lt;*&gt;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распространения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4"/>
      <w:bookmarkEnd w:id="38"/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периодичность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убъектов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5"/>
      <w:bookmarkEnd w:id="39"/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правонарушениях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</w:t>
      </w:r>
      <w:r>
        <w:rPr>
          <w:rFonts w:ascii="Arial" w:hAnsi="Arial" w:cs="Arial"/>
          <w:color w:val="000000"/>
        </w:rPr>
        <w:t>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36"/>
      <w:bookmarkEnd w:id="40"/>
      <w:r>
        <w:rPr>
          <w:rFonts w:ascii="Arial" w:hAnsi="Arial" w:cs="Arial"/>
          <w:color w:val="000000"/>
        </w:rPr>
        <w:t>--------------------------------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7"/>
      <w:bookmarkEnd w:id="41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едставительства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81"/>
      <w:bookmarkEnd w:id="42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8"/>
      <w:bookmarkEnd w:id="43"/>
      <w:r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разовая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>).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39"/>
      <w:bookmarkEnd w:id="44"/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0"/>
      <w:bookmarkEnd w:id="45"/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1"/>
      <w:bookmarkEnd w:id="46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запроса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2"/>
      <w:bookmarkEnd w:id="47"/>
      <w:r>
        <w:rPr>
          <w:rFonts w:ascii="Arial" w:hAnsi="Arial" w:cs="Arial"/>
          <w:color w:val="000000"/>
        </w:rPr>
        <w:t>способ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</w:t>
      </w:r>
      <w:r>
        <w:rPr>
          <w:rFonts w:ascii="Arial" w:hAnsi="Arial" w:cs="Arial"/>
          <w:color w:val="000000"/>
        </w:rPr>
        <w:t>ции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3"/>
      <w:bookmarkEnd w:id="48"/>
      <w:r>
        <w:rPr>
          <w:rFonts w:ascii="Arial" w:hAnsi="Arial" w:cs="Arial"/>
          <w:color w:val="000000"/>
        </w:rPr>
        <w:t>форму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заполнению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4"/>
      <w:bookmarkEnd w:id="49"/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делопроизводства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45"/>
      <w:bookmarkEnd w:id="50"/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</w:t>
      </w:r>
      <w:r>
        <w:rPr>
          <w:rFonts w:ascii="Arial" w:hAnsi="Arial" w:cs="Arial"/>
          <w:color w:val="000000"/>
        </w:rPr>
        <w:t>роса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поручения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содержащиеся</w:t>
      </w:r>
      <w:r>
        <w:rPr>
          <w:rFonts w:ascii="Arial" w:hAnsi="Arial" w:cs="Arial"/>
          <w:color w:val="000000"/>
        </w:rPr>
        <w:t>):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46"/>
      <w:bookmarkEnd w:id="5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47"/>
      <w:bookmarkEnd w:id="5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поручениях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48"/>
      <w:bookmarkEnd w:id="5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49"/>
      <w:bookmarkEnd w:id="5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Президиума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0"/>
      <w:bookmarkEnd w:id="5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Премьер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министра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1"/>
      <w:bookmarkEnd w:id="5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2"/>
      <w:bookmarkEnd w:id="57"/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персональную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53"/>
      <w:bookmarkEnd w:id="58"/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</w:t>
      </w:r>
      <w:r>
        <w:rPr>
          <w:rFonts w:ascii="Arial" w:hAnsi="Arial" w:cs="Arial"/>
          <w:color w:val="000000"/>
        </w:rPr>
        <w:t>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запрашивающего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запрашиваемую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4"/>
      <w:bookmarkEnd w:id="59"/>
      <w:r>
        <w:rPr>
          <w:rFonts w:ascii="Arial" w:hAnsi="Arial" w:cs="Arial"/>
          <w:color w:val="000000"/>
        </w:rPr>
        <w:t xml:space="preserve">1.6.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случая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55"/>
      <w:bookmarkEnd w:id="6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56"/>
      <w:bookmarkEnd w:id="6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</w:t>
      </w:r>
      <w:r>
        <w:rPr>
          <w:rFonts w:ascii="Arial" w:hAnsi="Arial" w:cs="Arial"/>
          <w:color w:val="000000"/>
        </w:rPr>
        <w:t>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судопроизводстве</w:t>
      </w:r>
      <w:r>
        <w:rPr>
          <w:rFonts w:ascii="Arial" w:hAnsi="Arial" w:cs="Arial"/>
          <w:color w:val="000000"/>
        </w:rPr>
        <w:t xml:space="preserve"> &lt;*&gt;;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7"/>
      <w:bookmarkEnd w:id="6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8"/>
      <w:bookmarkEnd w:id="6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59"/>
      <w:bookmarkEnd w:id="64"/>
      <w:r>
        <w:rPr>
          <w:rFonts w:ascii="Arial" w:hAnsi="Arial" w:cs="Arial"/>
          <w:color w:val="000000"/>
        </w:rPr>
        <w:t>--------------------------</w:t>
      </w:r>
      <w:r>
        <w:rPr>
          <w:rFonts w:ascii="Arial" w:hAnsi="Arial" w:cs="Arial"/>
          <w:color w:val="000000"/>
        </w:rPr>
        <w:t>------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0"/>
      <w:bookmarkEnd w:id="65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82"/>
      <w:bookmarkEnd w:id="66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1"/>
      <w:bookmarkEnd w:id="6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</w:t>
      </w:r>
      <w:r>
        <w:rPr>
          <w:rFonts w:ascii="Arial" w:hAnsi="Arial" w:cs="Arial"/>
          <w:color w:val="000000"/>
        </w:rPr>
        <w:t>ивать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62"/>
      <w:bookmarkEnd w:id="68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3"/>
      <w:bookmarkEnd w:id="69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>: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64"/>
      <w:bookmarkEnd w:id="70"/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дублирования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65"/>
      <w:bookmarkEnd w:id="71"/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оптимизации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ресурсах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актуальности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66"/>
      <w:bookmarkEnd w:id="72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армонизации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обработки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67"/>
      <w:bookmarkEnd w:id="73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компетенцию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68"/>
      <w:bookmarkEnd w:id="74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</w:t>
      </w:r>
      <w:r>
        <w:rPr>
          <w:rFonts w:ascii="Arial" w:hAnsi="Arial" w:cs="Arial"/>
          <w:color w:val="000000"/>
        </w:rPr>
        <w:t>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69"/>
      <w:bookmarkEnd w:id="75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Межведомственного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ресурса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подле</w:t>
      </w:r>
      <w:r>
        <w:rPr>
          <w:rFonts w:ascii="Arial" w:hAnsi="Arial" w:cs="Arial"/>
          <w:color w:val="000000"/>
        </w:rPr>
        <w:t>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доработке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модернизации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ресурса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>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0"/>
      <w:bookmarkEnd w:id="7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.".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7" w:name="71"/>
      <w:bookmarkEnd w:id="77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8" w:name="72"/>
      <w:bookmarkEnd w:id="78"/>
      <w:r>
        <w:rPr>
          <w:rFonts w:ascii="Arial" w:hAnsi="Arial" w:cs="Arial"/>
          <w:color w:val="000000"/>
        </w:rPr>
        <w:t> </w:t>
      </w:r>
    </w:p>
    <w:p w:rsidR="00000000" w:rsidRDefault="00D00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9" w:name="73"/>
      <w:bookmarkEnd w:id="79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000000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0A96">
      <w:pPr>
        <w:spacing w:after="0" w:line="240" w:lineRule="auto"/>
      </w:pPr>
      <w:r>
        <w:separator/>
      </w:r>
    </w:p>
  </w:endnote>
  <w:endnote w:type="continuationSeparator" w:id="0">
    <w:p w:rsidR="00000000" w:rsidRDefault="00D0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00A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0A96">
      <w:pPr>
        <w:spacing w:after="0" w:line="240" w:lineRule="auto"/>
      </w:pPr>
      <w:r>
        <w:separator/>
      </w:r>
    </w:p>
  </w:footnote>
  <w:footnote w:type="continuationSeparator" w:id="0">
    <w:p w:rsidR="00000000" w:rsidRDefault="00D0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00A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96"/>
    <w:rsid w:val="00D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D900BD-9763-4FE2-AF03-EF15946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User-1201</dc:creator>
  <cp:keywords/>
  <dc:description/>
  <cp:lastModifiedBy>User-1201</cp:lastModifiedBy>
  <cp:revision>2</cp:revision>
  <dcterms:created xsi:type="dcterms:W3CDTF">2025-07-25T09:07:00Z</dcterms:created>
  <dcterms:modified xsi:type="dcterms:W3CDTF">2025-07-25T09:07:00Z</dcterms:modified>
</cp:coreProperties>
</file>