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232E87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0528" behindDoc="1" locked="0" layoutInCell="1" allowOverlap="1" wp14:anchorId="5441AF94" wp14:editId="76F99D0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-408940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D44709" w:rsidRDefault="00BC0A85" w:rsidP="00232E87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32E87">
              <w:rPr>
                <w:rFonts w:ascii="Arial" w:hAnsi="Arial" w:cs="Arial"/>
                <w:sz w:val="28"/>
                <w:szCs w:val="28"/>
              </w:rPr>
              <w:t>4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</w:t>
      </w:r>
      <w:r w:rsidR="00933230">
        <w:rPr>
          <w:rFonts w:ascii="Arial" w:hAnsi="Arial" w:cs="Arial"/>
          <w:b/>
        </w:rPr>
        <w:t xml:space="preserve"> </w:t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4B459B" w:rsidRPr="00BC0A85">
        <w:rPr>
          <w:rFonts w:ascii="Arial" w:hAnsi="Arial" w:cs="Arial"/>
          <w:b/>
        </w:rPr>
        <w:t>мае 2022 г.</w:t>
      </w:r>
    </w:p>
    <w:p w:rsidR="000436E8" w:rsidRDefault="000436E8" w:rsidP="00B54B40">
      <w:pPr>
        <w:pStyle w:val="2"/>
        <w:spacing w:line="280" w:lineRule="exact"/>
        <w:ind w:firstLine="709"/>
        <w:rPr>
          <w:sz w:val="30"/>
          <w:szCs w:val="30"/>
        </w:rPr>
      </w:pPr>
    </w:p>
    <w:p w:rsidR="000436E8" w:rsidRPr="00BC0A85" w:rsidRDefault="00EB0443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C0A85">
        <w:rPr>
          <w:rFonts w:ascii="Arial" w:hAnsi="Arial" w:cs="Arial"/>
          <w:sz w:val="24"/>
          <w:szCs w:val="24"/>
        </w:rPr>
        <w:t>При</w:t>
      </w:r>
      <w:r w:rsidR="00264628" w:rsidRPr="00BC0A85">
        <w:rPr>
          <w:rFonts w:ascii="Arial" w:hAnsi="Arial" w:cs="Arial"/>
          <w:sz w:val="24"/>
          <w:szCs w:val="24"/>
        </w:rPr>
        <w:t xml:space="preserve"> проведени</w:t>
      </w:r>
      <w:r w:rsidRPr="00BC0A85">
        <w:rPr>
          <w:rFonts w:ascii="Arial" w:hAnsi="Arial" w:cs="Arial"/>
          <w:sz w:val="24"/>
          <w:szCs w:val="24"/>
        </w:rPr>
        <w:t xml:space="preserve">и </w:t>
      </w:r>
      <w:r w:rsidR="004B459B" w:rsidRPr="00BC0A85">
        <w:rPr>
          <w:rFonts w:ascii="Arial" w:hAnsi="Arial" w:cs="Arial"/>
          <w:sz w:val="24"/>
          <w:szCs w:val="24"/>
        </w:rPr>
        <w:t>21 мая 2022</w:t>
      </w:r>
      <w:r w:rsidRPr="00BC0A85">
        <w:rPr>
          <w:rFonts w:ascii="Arial" w:hAnsi="Arial" w:cs="Arial"/>
          <w:sz w:val="24"/>
          <w:szCs w:val="24"/>
        </w:rPr>
        <w:t> г.</w:t>
      </w:r>
      <w:r w:rsidR="00264628" w:rsidRPr="00BC0A85">
        <w:rPr>
          <w:rFonts w:ascii="Arial" w:hAnsi="Arial" w:cs="Arial"/>
          <w:sz w:val="24"/>
          <w:szCs w:val="24"/>
        </w:rPr>
        <w:t xml:space="preserve"> </w:t>
      </w:r>
      <w:r w:rsidR="00AF5CA4" w:rsidRPr="00BC0A85">
        <w:rPr>
          <w:rFonts w:ascii="Arial" w:hAnsi="Arial" w:cs="Arial"/>
          <w:sz w:val="24"/>
          <w:szCs w:val="24"/>
        </w:rPr>
        <w:t>выборочного обследования физических лиц в автодорожных пунктах пропуска через Государственную границу Республики Беларусь (далее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="00AF5CA4" w:rsidRPr="00504306">
        <w:rPr>
          <w:rFonts w:ascii="Arial" w:hAnsi="Arial" w:cs="Arial"/>
          <w:sz w:val="24"/>
          <w:szCs w:val="24"/>
        </w:rPr>
        <w:t>обследовани</w:t>
      </w:r>
      <w:r w:rsidR="008320EF" w:rsidRPr="00504306">
        <w:rPr>
          <w:rFonts w:ascii="Arial" w:hAnsi="Arial" w:cs="Arial"/>
          <w:sz w:val="24"/>
          <w:szCs w:val="24"/>
        </w:rPr>
        <w:t>е</w:t>
      </w:r>
      <w:r w:rsidR="00AF5CA4" w:rsidRPr="00504306">
        <w:rPr>
          <w:rFonts w:ascii="Arial" w:hAnsi="Arial" w:cs="Arial"/>
          <w:sz w:val="24"/>
          <w:szCs w:val="24"/>
        </w:rPr>
        <w:t xml:space="preserve">) </w:t>
      </w:r>
      <w:r w:rsidR="00411938" w:rsidRPr="00504306">
        <w:rPr>
          <w:rFonts w:ascii="Arial" w:hAnsi="Arial" w:cs="Arial"/>
          <w:sz w:val="24"/>
          <w:szCs w:val="24"/>
        </w:rPr>
        <w:t>распространен</w:t>
      </w:r>
      <w:r w:rsidR="004B459B" w:rsidRPr="00504306">
        <w:rPr>
          <w:rFonts w:ascii="Arial" w:hAnsi="Arial" w:cs="Arial"/>
          <w:sz w:val="24"/>
          <w:szCs w:val="24"/>
        </w:rPr>
        <w:t>о</w:t>
      </w:r>
      <w:r w:rsidR="00411938" w:rsidRPr="00504306">
        <w:rPr>
          <w:rFonts w:ascii="Arial" w:hAnsi="Arial" w:cs="Arial"/>
          <w:sz w:val="24"/>
          <w:szCs w:val="24"/>
        </w:rPr>
        <w:t xml:space="preserve"> </w:t>
      </w:r>
      <w:r w:rsidR="004B459B" w:rsidRPr="00504306">
        <w:rPr>
          <w:rFonts w:ascii="Arial" w:hAnsi="Arial" w:cs="Arial"/>
          <w:sz w:val="24"/>
          <w:szCs w:val="24"/>
        </w:rPr>
        <w:t>4</w:t>
      </w:r>
      <w:r w:rsidR="00496CA0" w:rsidRPr="00504306">
        <w:rPr>
          <w:rFonts w:ascii="Arial" w:hAnsi="Arial" w:cs="Arial"/>
          <w:sz w:val="24"/>
          <w:szCs w:val="24"/>
        </w:rPr>
        <w:t> </w:t>
      </w:r>
      <w:r w:rsidR="004B459B" w:rsidRPr="00504306">
        <w:rPr>
          <w:rFonts w:ascii="Arial" w:hAnsi="Arial" w:cs="Arial"/>
          <w:sz w:val="24"/>
          <w:szCs w:val="24"/>
        </w:rPr>
        <w:t>652</w:t>
      </w:r>
      <w:r w:rsidR="00411938" w:rsidRPr="00504306">
        <w:rPr>
          <w:rFonts w:ascii="Arial" w:hAnsi="Arial" w:cs="Arial"/>
          <w:sz w:val="24"/>
          <w:szCs w:val="24"/>
        </w:rPr>
        <w:t xml:space="preserve"> анкет</w:t>
      </w:r>
      <w:r w:rsidR="004B459B" w:rsidRPr="00504306">
        <w:rPr>
          <w:rFonts w:ascii="Arial" w:hAnsi="Arial" w:cs="Arial"/>
          <w:sz w:val="24"/>
          <w:szCs w:val="24"/>
        </w:rPr>
        <w:t>ы</w:t>
      </w:r>
      <w:r w:rsidR="008A6EA6" w:rsidRPr="00504306">
        <w:rPr>
          <w:rFonts w:ascii="Arial" w:hAnsi="Arial" w:cs="Arial"/>
          <w:sz w:val="24"/>
          <w:szCs w:val="24"/>
        </w:rPr>
        <w:t xml:space="preserve"> в 8 автодорожных пункта</w:t>
      </w:r>
      <w:r w:rsidR="00911D79" w:rsidRPr="00504306">
        <w:rPr>
          <w:rFonts w:ascii="Arial" w:hAnsi="Arial" w:cs="Arial"/>
          <w:sz w:val="24"/>
          <w:szCs w:val="24"/>
        </w:rPr>
        <w:t>х</w:t>
      </w:r>
      <w:r w:rsidR="008A6EA6" w:rsidRPr="00504306">
        <w:rPr>
          <w:rFonts w:ascii="Arial" w:hAnsi="Arial" w:cs="Arial"/>
          <w:sz w:val="24"/>
          <w:szCs w:val="24"/>
        </w:rPr>
        <w:t xml:space="preserve"> пропуска. </w:t>
      </w:r>
      <w:r w:rsidR="000436E8" w:rsidRPr="00504306">
        <w:rPr>
          <w:rFonts w:ascii="Arial" w:hAnsi="Arial" w:cs="Arial"/>
          <w:sz w:val="24"/>
          <w:szCs w:val="24"/>
        </w:rPr>
        <w:t>Из общего</w:t>
      </w:r>
      <w:r w:rsidR="000436E8" w:rsidRPr="00BC0A85">
        <w:rPr>
          <w:rFonts w:ascii="Arial" w:hAnsi="Arial" w:cs="Arial"/>
          <w:sz w:val="24"/>
          <w:szCs w:val="24"/>
        </w:rPr>
        <w:t xml:space="preserve"> количества распространенных анкет был</w:t>
      </w:r>
      <w:r w:rsidR="00411938" w:rsidRPr="00BC0A85">
        <w:rPr>
          <w:rFonts w:ascii="Arial" w:hAnsi="Arial" w:cs="Arial"/>
          <w:sz w:val="24"/>
          <w:szCs w:val="24"/>
        </w:rPr>
        <w:t>о</w:t>
      </w:r>
      <w:r w:rsidR="000436E8" w:rsidRPr="00BC0A85">
        <w:rPr>
          <w:rFonts w:ascii="Arial" w:hAnsi="Arial" w:cs="Arial"/>
          <w:sz w:val="24"/>
          <w:szCs w:val="24"/>
        </w:rPr>
        <w:t xml:space="preserve"> заполнен</w:t>
      </w:r>
      <w:r w:rsidR="00411938" w:rsidRPr="00BC0A85">
        <w:rPr>
          <w:rFonts w:ascii="Arial" w:hAnsi="Arial" w:cs="Arial"/>
          <w:sz w:val="24"/>
          <w:szCs w:val="24"/>
        </w:rPr>
        <w:t>о</w:t>
      </w:r>
      <w:r w:rsidR="000436E8" w:rsidRPr="00BC0A85">
        <w:rPr>
          <w:rFonts w:ascii="Arial" w:hAnsi="Arial" w:cs="Arial"/>
          <w:sz w:val="24"/>
          <w:szCs w:val="24"/>
        </w:rPr>
        <w:t xml:space="preserve"> </w:t>
      </w:r>
      <w:r w:rsidR="004B459B" w:rsidRPr="00BC0A85">
        <w:rPr>
          <w:rFonts w:ascii="Arial" w:hAnsi="Arial" w:cs="Arial"/>
          <w:sz w:val="24"/>
          <w:szCs w:val="24"/>
        </w:rPr>
        <w:t>2 968</w:t>
      </w:r>
      <w:r w:rsidR="000436E8" w:rsidRPr="00BC0A85">
        <w:rPr>
          <w:rFonts w:ascii="Arial" w:hAnsi="Arial" w:cs="Arial"/>
          <w:sz w:val="24"/>
          <w:szCs w:val="24"/>
        </w:rPr>
        <w:t xml:space="preserve"> анкет, или </w:t>
      </w:r>
      <w:r w:rsidR="004B459B" w:rsidRPr="00BC0A85">
        <w:rPr>
          <w:rFonts w:ascii="Arial" w:hAnsi="Arial" w:cs="Arial"/>
          <w:sz w:val="24"/>
          <w:szCs w:val="24"/>
        </w:rPr>
        <w:t>63,8</w:t>
      </w:r>
      <w:r w:rsidR="000436E8" w:rsidRPr="00BC0A85">
        <w:rPr>
          <w:rFonts w:ascii="Arial" w:hAnsi="Arial" w:cs="Arial"/>
          <w:sz w:val="24"/>
          <w:szCs w:val="24"/>
        </w:rPr>
        <w:t>%</w:t>
      </w:r>
      <w:r w:rsidR="00347A71" w:rsidRPr="00BC0A85">
        <w:rPr>
          <w:rFonts w:ascii="Arial" w:hAnsi="Arial" w:cs="Arial"/>
          <w:sz w:val="24"/>
          <w:szCs w:val="24"/>
        </w:rPr>
        <w:t>.</w:t>
      </w:r>
    </w:p>
    <w:p w:rsidR="000436E8" w:rsidRPr="00BC0A85" w:rsidRDefault="00411938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C0A85">
        <w:rPr>
          <w:rFonts w:ascii="Arial" w:hAnsi="Arial" w:cs="Arial"/>
          <w:sz w:val="24"/>
          <w:szCs w:val="24"/>
        </w:rPr>
        <w:t>Среди лиц, пересекающих границу</w:t>
      </w:r>
      <w:r w:rsidR="00B54B40" w:rsidRPr="00BC0A85">
        <w:rPr>
          <w:rFonts w:ascii="Arial" w:hAnsi="Arial" w:cs="Arial"/>
          <w:sz w:val="24"/>
          <w:szCs w:val="24"/>
        </w:rPr>
        <w:t>,</w:t>
      </w:r>
      <w:r w:rsidRPr="00BC0A85">
        <w:rPr>
          <w:rFonts w:ascii="Arial" w:hAnsi="Arial" w:cs="Arial"/>
          <w:sz w:val="24"/>
          <w:szCs w:val="24"/>
        </w:rPr>
        <w:t xml:space="preserve"> нерезиденты Республики Беларусь</w:t>
      </w:r>
      <w:r w:rsidR="00B54B40" w:rsidRPr="00BC0A85">
        <w:rPr>
          <w:rFonts w:ascii="Arial" w:hAnsi="Arial" w:cs="Arial"/>
          <w:sz w:val="24"/>
          <w:szCs w:val="24"/>
        </w:rPr>
        <w:t xml:space="preserve"> составили 44,6%</w:t>
      </w:r>
      <w:r w:rsidRPr="00BC0A85">
        <w:rPr>
          <w:rFonts w:ascii="Arial" w:hAnsi="Arial" w:cs="Arial"/>
          <w:sz w:val="24"/>
          <w:szCs w:val="24"/>
        </w:rPr>
        <w:t xml:space="preserve">. Они заполнили </w:t>
      </w:r>
      <w:r w:rsidR="004B459B" w:rsidRPr="00BC0A85">
        <w:rPr>
          <w:rFonts w:ascii="Arial" w:hAnsi="Arial" w:cs="Arial"/>
          <w:sz w:val="24"/>
          <w:szCs w:val="24"/>
        </w:rPr>
        <w:t>1</w:t>
      </w:r>
      <w:r w:rsidR="004B459B" w:rsidRPr="00504306">
        <w:rPr>
          <w:rFonts w:ascii="Arial" w:hAnsi="Arial" w:cs="Arial"/>
          <w:sz w:val="24"/>
          <w:szCs w:val="24"/>
        </w:rPr>
        <w:t> </w:t>
      </w:r>
      <w:r w:rsidR="004B459B" w:rsidRPr="00BC0A85">
        <w:rPr>
          <w:rFonts w:ascii="Arial" w:hAnsi="Arial" w:cs="Arial"/>
          <w:sz w:val="24"/>
          <w:szCs w:val="24"/>
        </w:rPr>
        <w:t xml:space="preserve">325 </w:t>
      </w:r>
      <w:r w:rsidRPr="00BC0A85">
        <w:rPr>
          <w:rFonts w:ascii="Arial" w:hAnsi="Arial" w:cs="Arial"/>
          <w:sz w:val="24"/>
          <w:szCs w:val="24"/>
        </w:rPr>
        <w:t>анкет. Граждане</w:t>
      </w:r>
      <w:r w:rsidR="000436E8" w:rsidRPr="00BC0A85">
        <w:rPr>
          <w:rFonts w:ascii="Arial" w:hAnsi="Arial" w:cs="Arial"/>
          <w:sz w:val="24"/>
          <w:szCs w:val="24"/>
        </w:rPr>
        <w:t xml:space="preserve"> Республики Беларусь заполнили </w:t>
      </w:r>
      <w:r w:rsidR="004B459B" w:rsidRPr="00BC0A85">
        <w:rPr>
          <w:rFonts w:ascii="Arial" w:hAnsi="Arial" w:cs="Arial"/>
          <w:sz w:val="24"/>
          <w:szCs w:val="24"/>
        </w:rPr>
        <w:t>1</w:t>
      </w:r>
      <w:r w:rsidR="004B459B" w:rsidRPr="00504306">
        <w:rPr>
          <w:rFonts w:ascii="Arial" w:hAnsi="Arial" w:cs="Arial"/>
          <w:sz w:val="24"/>
          <w:szCs w:val="24"/>
        </w:rPr>
        <w:t> </w:t>
      </w:r>
      <w:r w:rsidR="004B459B" w:rsidRPr="00BC0A85">
        <w:rPr>
          <w:rFonts w:ascii="Arial" w:hAnsi="Arial" w:cs="Arial"/>
          <w:sz w:val="24"/>
          <w:szCs w:val="24"/>
        </w:rPr>
        <w:t>643</w:t>
      </w:r>
      <w:r w:rsidR="000436E8" w:rsidRPr="00BC0A85">
        <w:rPr>
          <w:rFonts w:ascii="Arial" w:hAnsi="Arial" w:cs="Arial"/>
          <w:sz w:val="24"/>
          <w:szCs w:val="24"/>
        </w:rPr>
        <w:t xml:space="preserve"> анкет</w:t>
      </w:r>
      <w:r w:rsidR="00B54B40" w:rsidRPr="00BC0A85">
        <w:rPr>
          <w:rFonts w:ascii="Arial" w:hAnsi="Arial" w:cs="Arial"/>
          <w:sz w:val="24"/>
          <w:szCs w:val="24"/>
        </w:rPr>
        <w:t>ы</w:t>
      </w:r>
      <w:r w:rsidR="00950881" w:rsidRPr="00BC0A85">
        <w:rPr>
          <w:rFonts w:ascii="Arial" w:hAnsi="Arial" w:cs="Arial"/>
          <w:sz w:val="24"/>
          <w:szCs w:val="24"/>
        </w:rPr>
        <w:t>.</w:t>
      </w:r>
    </w:p>
    <w:p w:rsidR="00347A71" w:rsidRDefault="00347A71" w:rsidP="003D21B1">
      <w:pPr>
        <w:pStyle w:val="2"/>
        <w:spacing w:line="200" w:lineRule="exact"/>
        <w:ind w:firstLine="709"/>
        <w:rPr>
          <w:sz w:val="30"/>
          <w:szCs w:val="30"/>
        </w:rPr>
      </w:pPr>
    </w:p>
    <w:p w:rsidR="001F748E" w:rsidRPr="00BC0A85" w:rsidRDefault="00BC0A85" w:rsidP="00682003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noProof/>
        </w:rPr>
        <w:drawing>
          <wp:anchor distT="0" distB="0" distL="114300" distR="114300" simplePos="0" relativeHeight="251660288" behindDoc="1" locked="0" layoutInCell="1" allowOverlap="1" wp14:anchorId="7F9E103C" wp14:editId="6DE1CEF9">
            <wp:simplePos x="0" y="0"/>
            <wp:positionH relativeFrom="column">
              <wp:posOffset>2871663</wp:posOffset>
            </wp:positionH>
            <wp:positionV relativeFrom="page">
              <wp:posOffset>4524292</wp:posOffset>
            </wp:positionV>
            <wp:extent cx="3013545" cy="2608028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1F748E" w:rsidRPr="00BC0A85">
        <w:rPr>
          <w:rFonts w:ascii="Arial" w:hAnsi="Arial" w:cs="Arial"/>
          <w:b/>
          <w:bCs/>
        </w:rPr>
        <w:t xml:space="preserve">Число лиц, </w:t>
      </w:r>
      <w:r w:rsidR="001F748E" w:rsidRPr="00504306">
        <w:rPr>
          <w:rFonts w:ascii="Arial" w:hAnsi="Arial" w:cs="Arial"/>
          <w:b/>
          <w:bCs/>
        </w:rPr>
        <w:t>участвовавших</w:t>
      </w:r>
      <w:r w:rsidR="001F748E" w:rsidRPr="00BC0A85">
        <w:rPr>
          <w:rFonts w:ascii="Arial" w:hAnsi="Arial" w:cs="Arial"/>
          <w:b/>
          <w:bCs/>
        </w:rPr>
        <w:t xml:space="preserve"> в обследовании, по странам</w:t>
      </w:r>
      <w:proofErr w:type="gramStart"/>
      <w:r w:rsidR="006D6FF3" w:rsidRPr="00504306">
        <w:rPr>
          <w:rFonts w:ascii="Arial" w:hAnsi="Arial" w:cs="Arial"/>
          <w:b/>
          <w:bCs/>
          <w:vertAlign w:val="superscript"/>
        </w:rPr>
        <w:t>1</w:t>
      </w:r>
      <w:proofErr w:type="gramEnd"/>
      <w:r w:rsidR="00353F9C" w:rsidRPr="00504306">
        <w:rPr>
          <w:rFonts w:ascii="Arial" w:hAnsi="Arial" w:cs="Arial"/>
          <w:b/>
          <w:bCs/>
          <w:vertAlign w:val="superscript"/>
        </w:rPr>
        <w:t>)</w:t>
      </w:r>
    </w:p>
    <w:p w:rsidR="00975909" w:rsidRPr="00E73E6F" w:rsidRDefault="00BC0A85" w:rsidP="00975909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CE05FF" wp14:editId="1CC8AB88">
            <wp:simplePos x="0" y="0"/>
            <wp:positionH relativeFrom="column">
              <wp:posOffset>88707</wp:posOffset>
            </wp:positionH>
            <wp:positionV relativeFrom="page">
              <wp:posOffset>4874149</wp:posOffset>
            </wp:positionV>
            <wp:extent cx="2592125" cy="2385391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73E6F">
        <w:rPr>
          <w:rFonts w:ascii="Arial" w:hAnsi="Arial" w:cs="Arial"/>
          <w:sz w:val="22"/>
          <w:szCs w:val="22"/>
        </w:rPr>
        <w:t>человек)</w:t>
      </w:r>
    </w:p>
    <w:p w:rsidR="001D4E65" w:rsidRPr="00975909" w:rsidRDefault="001D4E65" w:rsidP="00076C7C">
      <w:pPr>
        <w:pStyle w:val="2"/>
        <w:spacing w:line="200" w:lineRule="exact"/>
        <w:jc w:val="center"/>
      </w:pPr>
    </w:p>
    <w:p w:rsidR="001D4E65" w:rsidRPr="00975909" w:rsidRDefault="001C08F6" w:rsidP="00E73E6F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9341B" wp14:editId="3400D663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 w:rsidR="00C76137">
        <w:tab/>
      </w:r>
      <w:r w:rsidR="00E73E6F">
        <w:tab/>
      </w:r>
      <w:r w:rsidR="00C76137">
        <w:tab/>
      </w:r>
    </w:p>
    <w:p w:rsidR="001D4E65" w:rsidRPr="00975909" w:rsidRDefault="001D4E65" w:rsidP="001D4E65">
      <w:pPr>
        <w:pStyle w:val="2"/>
        <w:spacing w:after="120" w:line="216" w:lineRule="auto"/>
        <w:jc w:val="center"/>
      </w:pPr>
    </w:p>
    <w:p w:rsidR="001D4E65" w:rsidRPr="001F748E" w:rsidRDefault="00A87C7E" w:rsidP="008628FB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D60FE" wp14:editId="2AEEBFA0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E47830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1D4E65" w:rsidRPr="00E47830" w:rsidRDefault="001D4E65" w:rsidP="00E47830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="00B501B1">
        <w:tab/>
      </w:r>
      <w:r w:rsidR="00B501B1">
        <w:tab/>
      </w:r>
      <w:r w:rsidR="001D4E65">
        <w:tab/>
      </w:r>
      <w:r w:rsidR="008628FB">
        <w:tab/>
      </w:r>
    </w:p>
    <w:p w:rsidR="001D4E65" w:rsidRPr="00970DE2" w:rsidRDefault="00D74718" w:rsidP="00504306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04306">
        <w:rPr>
          <w:sz w:val="28"/>
          <w:szCs w:val="28"/>
        </w:rPr>
        <w:tab/>
      </w:r>
      <w:r w:rsidR="00300AFA">
        <w:rPr>
          <w:sz w:val="28"/>
          <w:szCs w:val="28"/>
        </w:rPr>
        <w:tab/>
      </w:r>
      <w:r w:rsidR="00E73E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717263">
        <w:rPr>
          <w:sz w:val="28"/>
          <w:szCs w:val="28"/>
        </w:rPr>
        <w:tab/>
      </w:r>
    </w:p>
    <w:p w:rsidR="001D4E65" w:rsidRPr="00970DE2" w:rsidRDefault="001C08F6" w:rsidP="00B54B40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A1E51" wp14:editId="64A9BDF3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8628FB">
        <w:rPr>
          <w:sz w:val="28"/>
          <w:szCs w:val="28"/>
        </w:rPr>
        <w:tab/>
      </w:r>
      <w:r w:rsidR="00437AC5">
        <w:rPr>
          <w:sz w:val="28"/>
          <w:szCs w:val="28"/>
        </w:rPr>
        <w:tab/>
      </w:r>
      <w:r w:rsidR="00B54B40">
        <w:rPr>
          <w:sz w:val="28"/>
          <w:szCs w:val="28"/>
        </w:rPr>
        <w:tab/>
      </w:r>
    </w:p>
    <w:p w:rsidR="001D4E65" w:rsidRPr="00970DE2" w:rsidRDefault="00E73E6F" w:rsidP="00E73E6F">
      <w:pPr>
        <w:tabs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4E65" w:rsidRPr="00B54B40" w:rsidRDefault="001D4E65" w:rsidP="00A87C7E">
      <w:pPr>
        <w:spacing w:line="240" w:lineRule="auto"/>
        <w:jc w:val="center"/>
        <w:rPr>
          <w:sz w:val="16"/>
          <w:szCs w:val="16"/>
        </w:rPr>
      </w:pPr>
    </w:p>
    <w:p w:rsidR="001D4E65" w:rsidRPr="00970DE2" w:rsidRDefault="001C08F6" w:rsidP="001D4E65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8F9C7" wp14:editId="2AC333B7">
                <wp:simplePos x="0" y="0"/>
                <wp:positionH relativeFrom="column">
                  <wp:posOffset>3627037</wp:posOffset>
                </wp:positionH>
                <wp:positionV relativeFrom="paragraph">
                  <wp:posOffset>75840</wp:posOffset>
                </wp:positionV>
                <wp:extent cx="1816100" cy="259025"/>
                <wp:effectExtent l="0" t="0" r="12700" b="825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5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5.95pt;width:143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X7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3C6F4" wp14:editId="2F143F74">
                <wp:simplePos x="0" y="0"/>
                <wp:positionH relativeFrom="column">
                  <wp:posOffset>377825</wp:posOffset>
                </wp:positionH>
                <wp:positionV relativeFrom="paragraph">
                  <wp:posOffset>80010</wp:posOffset>
                </wp:positionV>
                <wp:extent cx="2048510" cy="259080"/>
                <wp:effectExtent l="635" t="3810" r="0" b="381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9A1373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Выезд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из Республики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75pt;margin-top:6.3pt;width:161.3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nr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" filled="f" stroked="f">
                <v:textbox inset="0,0,0,0">
                  <w:txbxContent>
                    <w:p w:rsidR="001D4E65" w:rsidRPr="00E47830" w:rsidRDefault="009A1373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Выезд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из 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A95698" w:rsidP="00A87C7E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FCCA1" wp14:editId="708A0744">
                <wp:simplePos x="0" y="0"/>
                <wp:positionH relativeFrom="column">
                  <wp:posOffset>42545</wp:posOffset>
                </wp:positionH>
                <wp:positionV relativeFrom="paragraph">
                  <wp:posOffset>8890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35pt;margin-top:.7pt;width:7.6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7z&#10;EmXaAAAABQ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DA2FA" wp14:editId="62422770">
                <wp:simplePos x="0" y="0"/>
                <wp:positionH relativeFrom="column">
                  <wp:posOffset>2712720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3.6pt;margin-top:.6pt;width:7.1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JE9git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 w:rsidR="00933230">
        <w:rPr>
          <w:rFonts w:ascii="Arial" w:hAnsi="Arial" w:cs="Arial"/>
          <w:bCs/>
          <w:sz w:val="18"/>
          <w:szCs w:val="18"/>
        </w:rPr>
        <w:t xml:space="preserve">     </w:t>
      </w:r>
      <w:r w:rsidR="001C36B9">
        <w:rPr>
          <w:rFonts w:ascii="Arial" w:hAnsi="Arial" w:cs="Arial"/>
          <w:bCs/>
          <w:sz w:val="18"/>
          <w:szCs w:val="18"/>
        </w:rPr>
        <w:t xml:space="preserve"> </w:t>
      </w:r>
      <w:r w:rsidR="001D4E65" w:rsidRPr="001C36B9">
        <w:rPr>
          <w:rFonts w:ascii="Arial" w:hAnsi="Arial" w:cs="Arial"/>
          <w:bCs/>
          <w:sz w:val="20"/>
          <w:szCs w:val="20"/>
        </w:rPr>
        <w:t>Нерезиденты</w:t>
      </w:r>
      <w:r w:rsidR="00F40B88" w:rsidRPr="001C36B9">
        <w:rPr>
          <w:rFonts w:ascii="Arial" w:hAnsi="Arial" w:cs="Arial"/>
          <w:bCs/>
          <w:sz w:val="20"/>
          <w:szCs w:val="20"/>
        </w:rPr>
        <w:t xml:space="preserve"> Республики Беларусь</w:t>
      </w:r>
      <w:r w:rsidR="00933230">
        <w:rPr>
          <w:rFonts w:ascii="Arial" w:hAnsi="Arial" w:cs="Arial"/>
          <w:sz w:val="18"/>
          <w:szCs w:val="18"/>
        </w:rPr>
        <w:t xml:space="preserve"> </w:t>
      </w:r>
      <w:r w:rsidR="00933230">
        <w:rPr>
          <w:sz w:val="18"/>
          <w:szCs w:val="18"/>
        </w:rPr>
        <w:t xml:space="preserve">                   </w:t>
      </w:r>
      <w:r w:rsidR="00A87C7E" w:rsidRPr="00A87C7E">
        <w:rPr>
          <w:sz w:val="18"/>
          <w:szCs w:val="18"/>
        </w:rPr>
        <w:t xml:space="preserve"> </w:t>
      </w:r>
      <w:r w:rsidR="001D4E65" w:rsidRPr="001C36B9">
        <w:rPr>
          <w:rFonts w:ascii="Arial" w:hAnsi="Arial" w:cs="Arial"/>
          <w:sz w:val="20"/>
          <w:szCs w:val="20"/>
        </w:rPr>
        <w:t>Резиденты</w:t>
      </w:r>
      <w:r w:rsidR="00F40B88" w:rsidRPr="001C36B9">
        <w:rPr>
          <w:rFonts w:ascii="Arial" w:hAnsi="Arial" w:cs="Arial"/>
          <w:sz w:val="20"/>
          <w:szCs w:val="20"/>
        </w:rPr>
        <w:t xml:space="preserve"> </w:t>
      </w:r>
      <w:r w:rsidR="00F40B88"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347A71" w:rsidRDefault="00347A71" w:rsidP="007D2B58">
      <w:pPr>
        <w:pStyle w:val="2"/>
        <w:spacing w:before="240" w:line="200" w:lineRule="exact"/>
        <w:jc w:val="center"/>
        <w:rPr>
          <w:b/>
          <w:sz w:val="30"/>
          <w:szCs w:val="30"/>
        </w:rPr>
      </w:pPr>
    </w:p>
    <w:p w:rsidR="0051668A" w:rsidRPr="00504306" w:rsidRDefault="0051668A" w:rsidP="00C849A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400374" w:rsidRPr="00BC0A85" w:rsidRDefault="00400374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C0A85">
        <w:rPr>
          <w:rFonts w:ascii="Arial" w:hAnsi="Arial" w:cs="Arial"/>
          <w:sz w:val="24"/>
          <w:szCs w:val="24"/>
        </w:rPr>
        <w:t>В период проведения обследования 54,5% от общего числа лиц</w:t>
      </w:r>
      <w:r w:rsidR="00080813">
        <w:rPr>
          <w:rFonts w:ascii="Arial" w:hAnsi="Arial" w:cs="Arial"/>
          <w:sz w:val="24"/>
          <w:szCs w:val="24"/>
        </w:rPr>
        <w:t>,</w:t>
      </w:r>
      <w:r w:rsidRPr="00BC0A85">
        <w:rPr>
          <w:rFonts w:ascii="Arial" w:hAnsi="Arial" w:cs="Arial"/>
          <w:sz w:val="24"/>
          <w:szCs w:val="24"/>
        </w:rPr>
        <w:t xml:space="preserve"> въехавших в Республику Беларусь</w:t>
      </w:r>
      <w:r w:rsidR="00080813">
        <w:rPr>
          <w:rFonts w:ascii="Arial" w:hAnsi="Arial" w:cs="Arial"/>
          <w:sz w:val="24"/>
          <w:szCs w:val="24"/>
        </w:rPr>
        <w:t>,</w:t>
      </w:r>
      <w:r w:rsidRPr="00BC0A85">
        <w:rPr>
          <w:rFonts w:ascii="Arial" w:hAnsi="Arial" w:cs="Arial"/>
          <w:sz w:val="24"/>
          <w:szCs w:val="24"/>
        </w:rPr>
        <w:t xml:space="preserve"> отразили ввоз товаров</w:t>
      </w:r>
      <w:r w:rsidR="00504306" w:rsidRPr="00504306">
        <w:rPr>
          <w:rFonts w:ascii="Arial" w:hAnsi="Arial" w:cs="Arial"/>
          <w:sz w:val="24"/>
          <w:szCs w:val="24"/>
        </w:rPr>
        <w:t xml:space="preserve"> </w:t>
      </w:r>
      <w:r w:rsidRPr="00BC0A85">
        <w:rPr>
          <w:rFonts w:ascii="Arial" w:hAnsi="Arial" w:cs="Arial"/>
          <w:sz w:val="24"/>
          <w:szCs w:val="24"/>
        </w:rPr>
        <w:t>(874 из 1 604 человек).</w:t>
      </w:r>
    </w:p>
    <w:p w:rsidR="0051668A" w:rsidRPr="00126359" w:rsidRDefault="0051668A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C0A85">
        <w:rPr>
          <w:rFonts w:ascii="Arial" w:hAnsi="Arial" w:cs="Arial"/>
          <w:sz w:val="24"/>
          <w:szCs w:val="24"/>
        </w:rPr>
        <w:t>Вывоз товаров отметил</w:t>
      </w:r>
      <w:r w:rsidR="00940AAC" w:rsidRPr="00BC0A85">
        <w:rPr>
          <w:rFonts w:ascii="Arial" w:hAnsi="Arial" w:cs="Arial"/>
          <w:sz w:val="24"/>
          <w:szCs w:val="24"/>
        </w:rPr>
        <w:t xml:space="preserve">и 43,5% </w:t>
      </w:r>
      <w:r w:rsidR="00994E09" w:rsidRPr="00BC0A85">
        <w:rPr>
          <w:rFonts w:ascii="Arial" w:hAnsi="Arial" w:cs="Arial"/>
          <w:sz w:val="24"/>
          <w:szCs w:val="24"/>
        </w:rPr>
        <w:t>из</w:t>
      </w:r>
      <w:r w:rsidR="00D96D9F" w:rsidRPr="00BC0A85">
        <w:rPr>
          <w:rFonts w:ascii="Arial" w:hAnsi="Arial" w:cs="Arial"/>
          <w:sz w:val="24"/>
          <w:szCs w:val="24"/>
        </w:rPr>
        <w:t xml:space="preserve"> </w:t>
      </w:r>
      <w:r w:rsidR="00571F61" w:rsidRPr="00BC0A85">
        <w:rPr>
          <w:rFonts w:ascii="Arial" w:hAnsi="Arial" w:cs="Arial"/>
          <w:sz w:val="24"/>
          <w:szCs w:val="24"/>
        </w:rPr>
        <w:t xml:space="preserve">числа </w:t>
      </w:r>
      <w:r w:rsidRPr="00BC0A85">
        <w:rPr>
          <w:rFonts w:ascii="Arial" w:hAnsi="Arial" w:cs="Arial"/>
          <w:sz w:val="24"/>
          <w:szCs w:val="24"/>
        </w:rPr>
        <w:t>опрошенны</w:t>
      </w:r>
      <w:r w:rsidR="00BC6A5B" w:rsidRPr="00BC0A85">
        <w:rPr>
          <w:rFonts w:ascii="Arial" w:hAnsi="Arial" w:cs="Arial"/>
          <w:sz w:val="24"/>
          <w:szCs w:val="24"/>
        </w:rPr>
        <w:t>х</w:t>
      </w:r>
      <w:r w:rsidR="00571F61" w:rsidRPr="00BC0A85">
        <w:rPr>
          <w:rFonts w:ascii="Arial" w:hAnsi="Arial" w:cs="Arial"/>
          <w:sz w:val="24"/>
          <w:szCs w:val="24"/>
        </w:rPr>
        <w:t xml:space="preserve"> лиц</w:t>
      </w:r>
      <w:r w:rsidR="00080813">
        <w:rPr>
          <w:rFonts w:ascii="Arial" w:hAnsi="Arial" w:cs="Arial"/>
          <w:sz w:val="24"/>
          <w:szCs w:val="24"/>
        </w:rPr>
        <w:t>,</w:t>
      </w:r>
      <w:r w:rsidR="00571F61" w:rsidRPr="00BC0A85">
        <w:rPr>
          <w:rFonts w:ascii="Arial" w:hAnsi="Arial" w:cs="Arial"/>
          <w:sz w:val="24"/>
          <w:szCs w:val="24"/>
        </w:rPr>
        <w:t xml:space="preserve"> выехавших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571F61" w:rsidRPr="00BC0A85">
        <w:rPr>
          <w:rFonts w:ascii="Arial" w:hAnsi="Arial" w:cs="Arial"/>
          <w:sz w:val="24"/>
          <w:szCs w:val="24"/>
        </w:rPr>
        <w:t>за пределы Республики Беларусь в период проведения обследования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Pr="00BC0A85">
        <w:rPr>
          <w:rFonts w:ascii="Arial" w:hAnsi="Arial" w:cs="Arial"/>
          <w:sz w:val="24"/>
          <w:szCs w:val="24"/>
        </w:rPr>
        <w:t>(</w:t>
      </w:r>
      <w:r w:rsidR="00940AAC" w:rsidRPr="00BC0A85">
        <w:rPr>
          <w:rFonts w:ascii="Arial" w:hAnsi="Arial" w:cs="Arial"/>
          <w:sz w:val="24"/>
          <w:szCs w:val="24"/>
        </w:rPr>
        <w:t>593</w:t>
      </w:r>
      <w:r w:rsidR="000E6460" w:rsidRPr="00BC0A85">
        <w:rPr>
          <w:rFonts w:ascii="Arial" w:hAnsi="Arial" w:cs="Arial"/>
          <w:sz w:val="24"/>
          <w:szCs w:val="24"/>
        </w:rPr>
        <w:t xml:space="preserve"> </w:t>
      </w:r>
      <w:r w:rsidRPr="00BC0A85">
        <w:rPr>
          <w:rFonts w:ascii="Arial" w:hAnsi="Arial" w:cs="Arial"/>
          <w:sz w:val="24"/>
          <w:szCs w:val="24"/>
        </w:rPr>
        <w:t xml:space="preserve">из </w:t>
      </w:r>
      <w:r w:rsidR="00940AAC" w:rsidRPr="00BC0A85">
        <w:rPr>
          <w:rFonts w:ascii="Arial" w:hAnsi="Arial" w:cs="Arial"/>
          <w:sz w:val="24"/>
          <w:szCs w:val="24"/>
        </w:rPr>
        <w:t>1 364</w:t>
      </w:r>
      <w:r w:rsidRPr="00BC0A85">
        <w:rPr>
          <w:rFonts w:ascii="Arial" w:hAnsi="Arial" w:cs="Arial"/>
          <w:sz w:val="24"/>
          <w:szCs w:val="24"/>
        </w:rPr>
        <w:t xml:space="preserve"> человек). </w:t>
      </w: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933230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="006D6FF3"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353F9C"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 w:rsidR="00353F9C" w:rsidRPr="00BC0A8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E47830" w:rsidRPr="00E47830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ввозивших и вывозивших товары, </w:t>
      </w:r>
    </w:p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t>по странам</w:t>
      </w:r>
      <w:proofErr w:type="gramStart"/>
      <w:r w:rsidR="006D6FF3" w:rsidRPr="00504306">
        <w:rPr>
          <w:rFonts w:ascii="Arial" w:hAnsi="Arial" w:cs="Arial"/>
          <w:b/>
          <w:bCs/>
          <w:vertAlign w:val="superscript"/>
        </w:rPr>
        <w:t>1</w:t>
      </w:r>
      <w:proofErr w:type="gramEnd"/>
      <w:r w:rsidR="007924F1" w:rsidRPr="00504306">
        <w:rPr>
          <w:rFonts w:ascii="Arial" w:hAnsi="Arial" w:cs="Arial"/>
          <w:b/>
          <w:bCs/>
          <w:vertAlign w:val="superscript"/>
        </w:rPr>
        <w:t>)</w:t>
      </w:r>
    </w:p>
    <w:p w:rsidR="00975909" w:rsidRPr="00975909" w:rsidRDefault="007D2B58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4656" behindDoc="0" locked="0" layoutInCell="1" allowOverlap="1" wp14:anchorId="4D5AE820" wp14:editId="3387E8AB">
            <wp:simplePos x="0" y="0"/>
            <wp:positionH relativeFrom="column">
              <wp:posOffset>899740</wp:posOffset>
            </wp:positionH>
            <wp:positionV relativeFrom="paragraph">
              <wp:posOffset>218274</wp:posOffset>
            </wp:positionV>
            <wp:extent cx="4325509" cy="2345635"/>
            <wp:effectExtent l="0" t="0" r="0" b="0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DD20A6" w:rsidRPr="00E47830" w:rsidRDefault="00DD20A6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47830">
        <w:rPr>
          <w:rFonts w:ascii="Arial" w:hAnsi="Arial" w:cs="Arial"/>
          <w:sz w:val="24"/>
          <w:szCs w:val="24"/>
        </w:rPr>
        <w:t>Ввоз товаров осуществлялся преимущественно из Польши (77,3% от общей стоимости товаров, ввезенных в Республику Беларусь во время проведения обследования</w:t>
      </w:r>
      <w:r w:rsidR="00554633" w:rsidRPr="00E47830">
        <w:rPr>
          <w:rFonts w:ascii="Arial" w:hAnsi="Arial" w:cs="Arial"/>
          <w:sz w:val="24"/>
          <w:szCs w:val="24"/>
        </w:rPr>
        <w:t xml:space="preserve">) </w:t>
      </w:r>
      <w:r w:rsidRPr="00E47830">
        <w:rPr>
          <w:rFonts w:ascii="Arial" w:hAnsi="Arial" w:cs="Arial"/>
          <w:sz w:val="24"/>
          <w:szCs w:val="24"/>
        </w:rPr>
        <w:t>и Литвы (21%).</w:t>
      </w:r>
    </w:p>
    <w:p w:rsidR="00C53601" w:rsidRPr="00E47830" w:rsidRDefault="007F7CD5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830">
        <w:rPr>
          <w:rFonts w:ascii="Arial" w:hAnsi="Arial" w:cs="Arial"/>
          <w:sz w:val="24"/>
          <w:szCs w:val="24"/>
        </w:rPr>
        <w:t>Основны</w:t>
      </w:r>
      <w:r w:rsidR="00DD20A6" w:rsidRPr="00E47830">
        <w:rPr>
          <w:rFonts w:ascii="Arial" w:hAnsi="Arial" w:cs="Arial"/>
          <w:sz w:val="24"/>
          <w:szCs w:val="24"/>
        </w:rPr>
        <w:t>ми</w:t>
      </w:r>
      <w:r w:rsidRPr="00E47830">
        <w:rPr>
          <w:rFonts w:ascii="Arial" w:hAnsi="Arial" w:cs="Arial"/>
          <w:sz w:val="24"/>
          <w:szCs w:val="24"/>
        </w:rPr>
        <w:t xml:space="preserve"> вид</w:t>
      </w:r>
      <w:r w:rsidR="00DD20A6" w:rsidRPr="00E47830">
        <w:rPr>
          <w:rFonts w:ascii="Arial" w:hAnsi="Arial" w:cs="Arial"/>
          <w:sz w:val="24"/>
          <w:szCs w:val="24"/>
        </w:rPr>
        <w:t>ами</w:t>
      </w:r>
      <w:r w:rsidRPr="00E47830">
        <w:rPr>
          <w:rFonts w:ascii="Arial" w:hAnsi="Arial" w:cs="Arial"/>
          <w:sz w:val="24"/>
          <w:szCs w:val="24"/>
        </w:rPr>
        <w:t xml:space="preserve"> ввозимых товаров</w:t>
      </w:r>
      <w:r w:rsidR="00DD20A6" w:rsidRPr="00E47830">
        <w:rPr>
          <w:rFonts w:ascii="Arial" w:hAnsi="Arial" w:cs="Arial"/>
          <w:sz w:val="24"/>
          <w:szCs w:val="24"/>
        </w:rPr>
        <w:t xml:space="preserve"> являлись </w:t>
      </w:r>
      <w:r w:rsidR="00D43F32" w:rsidRPr="00E47830">
        <w:rPr>
          <w:rFonts w:ascii="Arial" w:hAnsi="Arial" w:cs="Arial"/>
          <w:sz w:val="24"/>
          <w:szCs w:val="24"/>
        </w:rPr>
        <w:t xml:space="preserve">телевизоры </w:t>
      </w:r>
      <w:r w:rsidR="003C1FFA" w:rsidRPr="00E47830">
        <w:rPr>
          <w:rFonts w:ascii="Arial" w:hAnsi="Arial" w:cs="Arial"/>
          <w:sz w:val="24"/>
          <w:szCs w:val="24"/>
        </w:rPr>
        <w:t>(ввезено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C1FFA" w:rsidRPr="00E47830">
        <w:rPr>
          <w:rFonts w:ascii="Arial" w:hAnsi="Arial" w:cs="Arial"/>
          <w:sz w:val="24"/>
          <w:szCs w:val="24"/>
        </w:rPr>
        <w:t xml:space="preserve">в среднем на </w:t>
      </w:r>
      <w:r w:rsidR="003125A8" w:rsidRPr="00E47830">
        <w:rPr>
          <w:rFonts w:ascii="Arial" w:hAnsi="Arial" w:cs="Arial"/>
          <w:sz w:val="24"/>
          <w:szCs w:val="24"/>
        </w:rPr>
        <w:t>467</w:t>
      </w:r>
      <w:r w:rsidR="003C1FFA" w:rsidRPr="00E47830">
        <w:rPr>
          <w:rFonts w:ascii="Arial" w:hAnsi="Arial" w:cs="Arial"/>
          <w:sz w:val="24"/>
          <w:szCs w:val="24"/>
        </w:rPr>
        <w:t xml:space="preserve"> доллар</w:t>
      </w:r>
      <w:r w:rsidR="00BC78CB" w:rsidRPr="00E47830">
        <w:rPr>
          <w:rFonts w:ascii="Arial" w:hAnsi="Arial" w:cs="Arial"/>
          <w:sz w:val="24"/>
          <w:szCs w:val="24"/>
        </w:rPr>
        <w:t>ов</w:t>
      </w:r>
      <w:r w:rsidR="003C1FFA" w:rsidRPr="00E47830">
        <w:rPr>
          <w:rFonts w:ascii="Arial" w:hAnsi="Arial" w:cs="Arial"/>
          <w:sz w:val="24"/>
          <w:szCs w:val="24"/>
        </w:rPr>
        <w:t xml:space="preserve"> США на одного человека, указавшего факт ввоза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C1FFA" w:rsidRPr="00E47830">
        <w:rPr>
          <w:rFonts w:ascii="Arial" w:hAnsi="Arial" w:cs="Arial"/>
          <w:sz w:val="24"/>
          <w:szCs w:val="24"/>
        </w:rPr>
        <w:t xml:space="preserve">и стоимость данного вида товара), </w:t>
      </w:r>
      <w:r w:rsidR="00D43F32" w:rsidRPr="00E47830">
        <w:rPr>
          <w:rFonts w:ascii="Arial" w:hAnsi="Arial" w:cs="Arial"/>
          <w:sz w:val="24"/>
          <w:szCs w:val="24"/>
        </w:rPr>
        <w:t>компьютерная техника и средства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D43F32" w:rsidRPr="00E47830">
        <w:rPr>
          <w:rFonts w:ascii="Arial" w:hAnsi="Arial" w:cs="Arial"/>
          <w:sz w:val="24"/>
          <w:szCs w:val="24"/>
        </w:rPr>
        <w:t xml:space="preserve">связи </w:t>
      </w:r>
      <w:r w:rsidR="003C1FFA" w:rsidRPr="00E47830">
        <w:rPr>
          <w:rFonts w:ascii="Arial" w:hAnsi="Arial" w:cs="Arial"/>
          <w:sz w:val="24"/>
          <w:szCs w:val="24"/>
        </w:rPr>
        <w:t>(</w:t>
      </w:r>
      <w:r w:rsidR="003125A8" w:rsidRPr="00E47830">
        <w:rPr>
          <w:rFonts w:ascii="Arial" w:hAnsi="Arial" w:cs="Arial"/>
          <w:sz w:val="24"/>
          <w:szCs w:val="24"/>
        </w:rPr>
        <w:t>462</w:t>
      </w:r>
      <w:r w:rsidR="003C1FFA" w:rsidRPr="00E47830">
        <w:rPr>
          <w:rFonts w:ascii="Arial" w:hAnsi="Arial" w:cs="Arial"/>
          <w:sz w:val="24"/>
          <w:szCs w:val="24"/>
        </w:rPr>
        <w:t xml:space="preserve"> доллар</w:t>
      </w:r>
      <w:r w:rsidR="001F203C" w:rsidRPr="00E47830">
        <w:rPr>
          <w:rFonts w:ascii="Arial" w:hAnsi="Arial" w:cs="Arial"/>
          <w:sz w:val="24"/>
          <w:szCs w:val="24"/>
        </w:rPr>
        <w:t>а</w:t>
      </w:r>
      <w:r w:rsidR="003C1FFA" w:rsidRPr="00E47830">
        <w:rPr>
          <w:rFonts w:ascii="Arial" w:hAnsi="Arial" w:cs="Arial"/>
          <w:sz w:val="24"/>
          <w:szCs w:val="24"/>
        </w:rPr>
        <w:t xml:space="preserve">), </w:t>
      </w:r>
      <w:r w:rsidR="003125A8" w:rsidRPr="00E47830">
        <w:rPr>
          <w:rFonts w:ascii="Arial" w:hAnsi="Arial" w:cs="Arial"/>
          <w:sz w:val="24"/>
          <w:szCs w:val="24"/>
        </w:rPr>
        <w:t xml:space="preserve">электрическая бытовая техника (319 долларов), </w:t>
      </w:r>
      <w:r w:rsidR="00BC78CB" w:rsidRPr="00E47830">
        <w:rPr>
          <w:rFonts w:ascii="Arial" w:hAnsi="Arial" w:cs="Arial"/>
          <w:sz w:val="24"/>
          <w:szCs w:val="24"/>
        </w:rPr>
        <w:t>шины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BC78CB" w:rsidRPr="00E47830">
        <w:rPr>
          <w:rFonts w:ascii="Arial" w:hAnsi="Arial" w:cs="Arial"/>
          <w:sz w:val="24"/>
          <w:szCs w:val="24"/>
        </w:rPr>
        <w:t>и колеса (1</w:t>
      </w:r>
      <w:r w:rsidR="003125A8" w:rsidRPr="00E47830">
        <w:rPr>
          <w:rFonts w:ascii="Arial" w:hAnsi="Arial" w:cs="Arial"/>
          <w:sz w:val="24"/>
          <w:szCs w:val="24"/>
        </w:rPr>
        <w:t xml:space="preserve">59 </w:t>
      </w:r>
      <w:r w:rsidR="00BC78CB" w:rsidRPr="00E47830">
        <w:rPr>
          <w:rFonts w:ascii="Arial" w:hAnsi="Arial" w:cs="Arial"/>
          <w:sz w:val="24"/>
          <w:szCs w:val="24"/>
        </w:rPr>
        <w:t>долларов),</w:t>
      </w:r>
      <w:r w:rsidR="003125A8" w:rsidRPr="00E47830">
        <w:rPr>
          <w:rFonts w:ascii="Arial" w:hAnsi="Arial" w:cs="Arial"/>
          <w:sz w:val="24"/>
          <w:szCs w:val="24"/>
        </w:rPr>
        <w:t xml:space="preserve"> электроинструмент, бензопилы (136 доллар</w:t>
      </w:r>
      <w:r w:rsidR="001F203C" w:rsidRPr="00E47830">
        <w:rPr>
          <w:rFonts w:ascii="Arial" w:hAnsi="Arial" w:cs="Arial"/>
          <w:sz w:val="24"/>
          <w:szCs w:val="24"/>
        </w:rPr>
        <w:t>ов</w:t>
      </w:r>
      <w:r w:rsidR="003125A8" w:rsidRPr="00E47830">
        <w:rPr>
          <w:rFonts w:ascii="Arial" w:hAnsi="Arial" w:cs="Arial"/>
          <w:sz w:val="24"/>
          <w:szCs w:val="24"/>
        </w:rPr>
        <w:t>),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D43F32" w:rsidRPr="00E47830">
        <w:rPr>
          <w:rFonts w:ascii="Arial" w:hAnsi="Arial" w:cs="Arial"/>
          <w:sz w:val="24"/>
          <w:szCs w:val="24"/>
        </w:rPr>
        <w:t>мебель</w:t>
      </w:r>
      <w:r w:rsidR="00D732D3" w:rsidRPr="00E47830">
        <w:rPr>
          <w:rFonts w:ascii="Arial" w:hAnsi="Arial" w:cs="Arial"/>
          <w:sz w:val="24"/>
          <w:szCs w:val="24"/>
        </w:rPr>
        <w:t>, матрасы, осветительные приборы</w:t>
      </w:r>
      <w:r w:rsidR="00EE7FF9" w:rsidRPr="00E47830">
        <w:rPr>
          <w:rFonts w:ascii="Arial" w:hAnsi="Arial" w:cs="Arial"/>
          <w:sz w:val="24"/>
          <w:szCs w:val="24"/>
        </w:rPr>
        <w:t xml:space="preserve"> </w:t>
      </w:r>
      <w:r w:rsidR="00D43F32" w:rsidRPr="00E47830">
        <w:rPr>
          <w:rFonts w:ascii="Arial" w:hAnsi="Arial" w:cs="Arial"/>
          <w:sz w:val="24"/>
          <w:szCs w:val="24"/>
        </w:rPr>
        <w:t>(</w:t>
      </w:r>
      <w:r w:rsidR="00BC78CB" w:rsidRPr="00E47830">
        <w:rPr>
          <w:rFonts w:ascii="Arial" w:hAnsi="Arial" w:cs="Arial"/>
          <w:sz w:val="24"/>
          <w:szCs w:val="24"/>
        </w:rPr>
        <w:t>1</w:t>
      </w:r>
      <w:r w:rsidR="003125A8" w:rsidRPr="00E47830">
        <w:rPr>
          <w:rFonts w:ascii="Arial" w:hAnsi="Arial" w:cs="Arial"/>
          <w:sz w:val="24"/>
          <w:szCs w:val="24"/>
        </w:rPr>
        <w:t>25</w:t>
      </w:r>
      <w:r w:rsidR="001F203C" w:rsidRPr="00E47830">
        <w:rPr>
          <w:rFonts w:ascii="Arial" w:hAnsi="Arial" w:cs="Arial"/>
          <w:sz w:val="24"/>
          <w:szCs w:val="24"/>
        </w:rPr>
        <w:t xml:space="preserve"> </w:t>
      </w:r>
      <w:r w:rsidR="00D43F32" w:rsidRPr="00E47830">
        <w:rPr>
          <w:rFonts w:ascii="Arial" w:hAnsi="Arial" w:cs="Arial"/>
          <w:sz w:val="24"/>
          <w:szCs w:val="24"/>
        </w:rPr>
        <w:t>доллар</w:t>
      </w:r>
      <w:r w:rsidR="00BC78CB" w:rsidRPr="00E47830">
        <w:rPr>
          <w:rFonts w:ascii="Arial" w:hAnsi="Arial" w:cs="Arial"/>
          <w:sz w:val="24"/>
          <w:szCs w:val="24"/>
        </w:rPr>
        <w:t>ов</w:t>
      </w:r>
      <w:r w:rsidR="00D43F32" w:rsidRPr="00E47830">
        <w:rPr>
          <w:rFonts w:ascii="Arial" w:hAnsi="Arial" w:cs="Arial"/>
          <w:sz w:val="24"/>
          <w:szCs w:val="24"/>
        </w:rPr>
        <w:t xml:space="preserve">), </w:t>
      </w:r>
      <w:r w:rsidR="00BC78CB" w:rsidRPr="00E47830">
        <w:rPr>
          <w:rFonts w:ascii="Arial" w:hAnsi="Arial" w:cs="Arial"/>
          <w:sz w:val="24"/>
          <w:szCs w:val="24"/>
        </w:rPr>
        <w:t>автозапчасти (</w:t>
      </w:r>
      <w:r w:rsidR="003125A8" w:rsidRPr="00E47830">
        <w:rPr>
          <w:rFonts w:ascii="Arial" w:hAnsi="Arial" w:cs="Arial"/>
          <w:sz w:val="24"/>
          <w:szCs w:val="24"/>
        </w:rPr>
        <w:t>115</w:t>
      </w:r>
      <w:r w:rsidR="00BC78CB" w:rsidRPr="00E47830">
        <w:rPr>
          <w:rFonts w:ascii="Arial" w:hAnsi="Arial" w:cs="Arial"/>
          <w:sz w:val="24"/>
          <w:szCs w:val="24"/>
        </w:rPr>
        <w:t xml:space="preserve"> долларов),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125A8" w:rsidRPr="00E47830">
        <w:rPr>
          <w:rFonts w:ascii="Arial" w:hAnsi="Arial" w:cs="Arial"/>
          <w:sz w:val="24"/>
          <w:szCs w:val="24"/>
        </w:rPr>
        <w:t>сантехника (107 доллар</w:t>
      </w:r>
      <w:r w:rsidR="001F203C" w:rsidRPr="00E47830">
        <w:rPr>
          <w:rFonts w:ascii="Arial" w:hAnsi="Arial" w:cs="Arial"/>
          <w:sz w:val="24"/>
          <w:szCs w:val="24"/>
        </w:rPr>
        <w:t>ов</w:t>
      </w:r>
      <w:r w:rsidR="003125A8" w:rsidRPr="00E47830">
        <w:rPr>
          <w:rFonts w:ascii="Arial" w:hAnsi="Arial" w:cs="Arial"/>
          <w:sz w:val="24"/>
          <w:szCs w:val="24"/>
        </w:rPr>
        <w:t>), лекарственные средства</w:t>
      </w:r>
      <w:r w:rsidR="001F203C" w:rsidRPr="00E47830">
        <w:rPr>
          <w:rFonts w:ascii="Arial" w:hAnsi="Arial" w:cs="Arial"/>
          <w:sz w:val="24"/>
          <w:szCs w:val="24"/>
        </w:rPr>
        <w:t xml:space="preserve"> </w:t>
      </w:r>
      <w:r w:rsidR="003125A8" w:rsidRPr="00E47830">
        <w:rPr>
          <w:rFonts w:ascii="Arial" w:hAnsi="Arial" w:cs="Arial"/>
          <w:sz w:val="24"/>
          <w:szCs w:val="24"/>
        </w:rPr>
        <w:t>(97</w:t>
      </w:r>
      <w:proofErr w:type="gramEnd"/>
      <w:r w:rsidR="003125A8" w:rsidRPr="00E478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25A8" w:rsidRPr="00E47830">
        <w:rPr>
          <w:rFonts w:ascii="Arial" w:hAnsi="Arial" w:cs="Arial"/>
          <w:sz w:val="24"/>
          <w:szCs w:val="24"/>
        </w:rPr>
        <w:t>долларов), строительные материалы</w:t>
      </w:r>
      <w:r w:rsidR="00EE7FF9" w:rsidRPr="00E47830">
        <w:rPr>
          <w:rFonts w:ascii="Arial" w:hAnsi="Arial" w:cs="Arial"/>
          <w:sz w:val="24"/>
          <w:szCs w:val="24"/>
        </w:rPr>
        <w:t xml:space="preserve"> </w:t>
      </w:r>
      <w:r w:rsidR="003125A8" w:rsidRPr="00E47830">
        <w:rPr>
          <w:rFonts w:ascii="Arial" w:hAnsi="Arial" w:cs="Arial"/>
          <w:sz w:val="24"/>
          <w:szCs w:val="24"/>
        </w:rPr>
        <w:t>(92 доллара),</w:t>
      </w:r>
      <w:r w:rsidR="00C53601" w:rsidRPr="00E47830">
        <w:rPr>
          <w:rFonts w:ascii="Arial" w:hAnsi="Arial" w:cs="Arial"/>
          <w:sz w:val="24"/>
          <w:szCs w:val="24"/>
        </w:rPr>
        <w:t xml:space="preserve"> </w:t>
      </w:r>
      <w:r w:rsidR="00BC78CB" w:rsidRPr="00E47830">
        <w:rPr>
          <w:rFonts w:ascii="Arial" w:hAnsi="Arial" w:cs="Arial"/>
          <w:sz w:val="24"/>
          <w:szCs w:val="24"/>
        </w:rPr>
        <w:t>одежда (</w:t>
      </w:r>
      <w:r w:rsidR="00C53601" w:rsidRPr="00E47830">
        <w:rPr>
          <w:rFonts w:ascii="Arial" w:hAnsi="Arial" w:cs="Arial"/>
          <w:sz w:val="24"/>
          <w:szCs w:val="24"/>
        </w:rPr>
        <w:t>60</w:t>
      </w:r>
      <w:r w:rsidR="00BC78CB" w:rsidRPr="00E47830">
        <w:rPr>
          <w:rFonts w:ascii="Arial" w:hAnsi="Arial" w:cs="Arial"/>
          <w:sz w:val="24"/>
          <w:szCs w:val="24"/>
        </w:rPr>
        <w:t> доллар</w:t>
      </w:r>
      <w:r w:rsidR="001F203C" w:rsidRPr="00E47830">
        <w:rPr>
          <w:rFonts w:ascii="Arial" w:hAnsi="Arial" w:cs="Arial"/>
          <w:sz w:val="24"/>
          <w:szCs w:val="24"/>
        </w:rPr>
        <w:t>ов</w:t>
      </w:r>
      <w:r w:rsidR="00BC78CB" w:rsidRPr="00E47830">
        <w:rPr>
          <w:rFonts w:ascii="Arial" w:hAnsi="Arial" w:cs="Arial"/>
          <w:sz w:val="24"/>
          <w:szCs w:val="24"/>
        </w:rPr>
        <w:t>),</w:t>
      </w:r>
      <w:r w:rsidR="00C53601" w:rsidRPr="00E47830">
        <w:rPr>
          <w:rFonts w:ascii="Arial" w:hAnsi="Arial" w:cs="Arial"/>
          <w:sz w:val="24"/>
          <w:szCs w:val="24"/>
        </w:rPr>
        <w:t xml:space="preserve"> табачные изделия (57 долларов), обувь (56 долларов), игрушки, игры, спортивный инвентарь (52 доллара), сумки, чемоданы и т.п. (50 долларов).</w:t>
      </w:r>
      <w:proofErr w:type="gramEnd"/>
    </w:p>
    <w:p w:rsidR="007F7CD5" w:rsidRPr="00E47830" w:rsidRDefault="0051668A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47830">
        <w:rPr>
          <w:rFonts w:ascii="Arial" w:hAnsi="Arial" w:cs="Arial"/>
          <w:sz w:val="24"/>
          <w:szCs w:val="24"/>
        </w:rPr>
        <w:t xml:space="preserve">Вывоз товаров из Республики Беларусь </w:t>
      </w:r>
      <w:r w:rsidR="00E4164D" w:rsidRPr="00E47830">
        <w:rPr>
          <w:rFonts w:ascii="Arial" w:hAnsi="Arial" w:cs="Arial"/>
          <w:sz w:val="24"/>
          <w:szCs w:val="24"/>
        </w:rPr>
        <w:t>осуществлялся главным образом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E17AEC" w:rsidRPr="00E47830">
        <w:rPr>
          <w:rFonts w:ascii="Arial" w:hAnsi="Arial" w:cs="Arial"/>
          <w:sz w:val="24"/>
          <w:szCs w:val="24"/>
        </w:rPr>
        <w:t xml:space="preserve">в </w:t>
      </w:r>
      <w:r w:rsidR="00207C26" w:rsidRPr="00E47830">
        <w:rPr>
          <w:rFonts w:ascii="Arial" w:hAnsi="Arial" w:cs="Arial"/>
          <w:sz w:val="24"/>
          <w:szCs w:val="24"/>
        </w:rPr>
        <w:t>Польшу (</w:t>
      </w:r>
      <w:r w:rsidR="001105E6" w:rsidRPr="00E47830">
        <w:rPr>
          <w:rFonts w:ascii="Arial" w:hAnsi="Arial" w:cs="Arial"/>
          <w:sz w:val="24"/>
          <w:szCs w:val="24"/>
        </w:rPr>
        <w:t>49,</w:t>
      </w:r>
      <w:r w:rsidR="00D7451A" w:rsidRPr="00E47830">
        <w:rPr>
          <w:rFonts w:ascii="Arial" w:hAnsi="Arial" w:cs="Arial"/>
          <w:sz w:val="24"/>
          <w:szCs w:val="24"/>
        </w:rPr>
        <w:t>8</w:t>
      </w:r>
      <w:r w:rsidR="007F7CD5" w:rsidRPr="00E47830">
        <w:rPr>
          <w:rFonts w:ascii="Arial" w:hAnsi="Arial" w:cs="Arial"/>
          <w:sz w:val="24"/>
          <w:szCs w:val="24"/>
        </w:rPr>
        <w:t xml:space="preserve">% от общей стоимости вывезенных товаров), </w:t>
      </w:r>
      <w:r w:rsidR="00207C26" w:rsidRPr="00E47830">
        <w:rPr>
          <w:rFonts w:ascii="Arial" w:hAnsi="Arial" w:cs="Arial"/>
          <w:sz w:val="24"/>
          <w:szCs w:val="24"/>
        </w:rPr>
        <w:t xml:space="preserve">Литву </w:t>
      </w:r>
      <w:r w:rsidR="007F7CD5" w:rsidRPr="00E47830">
        <w:rPr>
          <w:rFonts w:ascii="Arial" w:hAnsi="Arial" w:cs="Arial"/>
          <w:sz w:val="24"/>
          <w:szCs w:val="24"/>
        </w:rPr>
        <w:t>(</w:t>
      </w:r>
      <w:r w:rsidR="00D7451A" w:rsidRPr="00E47830">
        <w:rPr>
          <w:rFonts w:ascii="Arial" w:hAnsi="Arial" w:cs="Arial"/>
          <w:sz w:val="24"/>
          <w:szCs w:val="24"/>
        </w:rPr>
        <w:t>36</w:t>
      </w:r>
      <w:r w:rsidR="00BC6A5B" w:rsidRPr="00E47830">
        <w:rPr>
          <w:rFonts w:ascii="Arial" w:hAnsi="Arial" w:cs="Arial"/>
          <w:sz w:val="24"/>
          <w:szCs w:val="24"/>
        </w:rPr>
        <w:t>,</w:t>
      </w:r>
      <w:r w:rsidR="00D7451A" w:rsidRPr="00E47830">
        <w:rPr>
          <w:rFonts w:ascii="Arial" w:hAnsi="Arial" w:cs="Arial"/>
          <w:sz w:val="24"/>
          <w:szCs w:val="24"/>
        </w:rPr>
        <w:t>2</w:t>
      </w:r>
      <w:r w:rsidR="007F7CD5" w:rsidRPr="00E47830">
        <w:rPr>
          <w:rFonts w:ascii="Arial" w:hAnsi="Arial" w:cs="Arial"/>
          <w:sz w:val="24"/>
          <w:szCs w:val="24"/>
        </w:rPr>
        <w:t>%)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BC6A5B" w:rsidRPr="00E47830">
        <w:rPr>
          <w:rFonts w:ascii="Arial" w:hAnsi="Arial" w:cs="Arial"/>
          <w:sz w:val="24"/>
          <w:szCs w:val="24"/>
        </w:rPr>
        <w:t>и Латвию (</w:t>
      </w:r>
      <w:r w:rsidR="002916DE" w:rsidRPr="00E47830">
        <w:rPr>
          <w:rFonts w:ascii="Arial" w:hAnsi="Arial" w:cs="Arial"/>
          <w:sz w:val="24"/>
          <w:szCs w:val="24"/>
        </w:rPr>
        <w:t>1</w:t>
      </w:r>
      <w:r w:rsidR="001F75BA" w:rsidRPr="00E47830">
        <w:rPr>
          <w:rFonts w:ascii="Arial" w:hAnsi="Arial" w:cs="Arial"/>
          <w:sz w:val="24"/>
          <w:szCs w:val="24"/>
        </w:rPr>
        <w:t>4</w:t>
      </w:r>
      <w:r w:rsidR="00BC6A5B" w:rsidRPr="00E47830">
        <w:rPr>
          <w:rFonts w:ascii="Arial" w:hAnsi="Arial" w:cs="Arial"/>
          <w:sz w:val="24"/>
          <w:szCs w:val="24"/>
        </w:rPr>
        <w:t>%)</w:t>
      </w:r>
      <w:r w:rsidR="007F7CD5" w:rsidRPr="00E47830">
        <w:rPr>
          <w:rFonts w:ascii="Arial" w:hAnsi="Arial" w:cs="Arial"/>
          <w:sz w:val="24"/>
          <w:szCs w:val="24"/>
        </w:rPr>
        <w:t>.</w:t>
      </w:r>
      <w:r w:rsidR="00933230">
        <w:rPr>
          <w:rFonts w:ascii="Arial" w:hAnsi="Arial" w:cs="Arial"/>
          <w:sz w:val="24"/>
          <w:szCs w:val="24"/>
        </w:rPr>
        <w:t xml:space="preserve"> </w:t>
      </w:r>
    </w:p>
    <w:p w:rsidR="003B77B3" w:rsidRPr="00126359" w:rsidRDefault="007F7CD5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  <w:proofErr w:type="gramStart"/>
      <w:r w:rsidRPr="00E47830">
        <w:rPr>
          <w:rFonts w:ascii="Arial" w:hAnsi="Arial" w:cs="Arial"/>
          <w:sz w:val="24"/>
          <w:szCs w:val="24"/>
        </w:rPr>
        <w:t>Основны</w:t>
      </w:r>
      <w:r w:rsidR="00554633" w:rsidRPr="00E47830">
        <w:rPr>
          <w:rFonts w:ascii="Arial" w:hAnsi="Arial" w:cs="Arial"/>
          <w:sz w:val="24"/>
          <w:szCs w:val="24"/>
        </w:rPr>
        <w:t>ми</w:t>
      </w:r>
      <w:r w:rsidRPr="00E47830">
        <w:rPr>
          <w:rFonts w:ascii="Arial" w:hAnsi="Arial" w:cs="Arial"/>
          <w:sz w:val="24"/>
          <w:szCs w:val="24"/>
        </w:rPr>
        <w:t xml:space="preserve"> вид</w:t>
      </w:r>
      <w:r w:rsidR="00554633" w:rsidRPr="00E47830">
        <w:rPr>
          <w:rFonts w:ascii="Arial" w:hAnsi="Arial" w:cs="Arial"/>
          <w:sz w:val="24"/>
          <w:szCs w:val="24"/>
        </w:rPr>
        <w:t>ами</w:t>
      </w:r>
      <w:r w:rsidRPr="00E47830">
        <w:rPr>
          <w:rFonts w:ascii="Arial" w:hAnsi="Arial" w:cs="Arial"/>
          <w:sz w:val="24"/>
          <w:szCs w:val="24"/>
        </w:rPr>
        <w:t xml:space="preserve"> вывозимых товаров</w:t>
      </w:r>
      <w:r w:rsidR="00554633" w:rsidRPr="00E47830">
        <w:rPr>
          <w:rFonts w:ascii="Arial" w:hAnsi="Arial" w:cs="Arial"/>
          <w:sz w:val="24"/>
          <w:szCs w:val="24"/>
        </w:rPr>
        <w:t xml:space="preserve"> являлись </w:t>
      </w:r>
      <w:r w:rsidR="003B77B3" w:rsidRPr="00E47830">
        <w:rPr>
          <w:rFonts w:ascii="Arial" w:hAnsi="Arial" w:cs="Arial"/>
          <w:sz w:val="24"/>
          <w:szCs w:val="24"/>
        </w:rPr>
        <w:t>компьютерная техника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B77B3" w:rsidRPr="00E47830">
        <w:rPr>
          <w:rFonts w:ascii="Arial" w:hAnsi="Arial" w:cs="Arial"/>
          <w:sz w:val="24"/>
          <w:szCs w:val="24"/>
        </w:rPr>
        <w:t>и средства связи</w:t>
      </w:r>
      <w:r w:rsidR="00844130" w:rsidRPr="00E47830">
        <w:rPr>
          <w:rFonts w:ascii="Arial" w:hAnsi="Arial" w:cs="Arial"/>
          <w:sz w:val="24"/>
          <w:szCs w:val="24"/>
        </w:rPr>
        <w:t xml:space="preserve"> </w:t>
      </w:r>
      <w:r w:rsidRPr="00E47830">
        <w:rPr>
          <w:rFonts w:ascii="Arial" w:hAnsi="Arial" w:cs="Arial"/>
          <w:sz w:val="24"/>
          <w:szCs w:val="24"/>
        </w:rPr>
        <w:t xml:space="preserve">(вывезено в среднем на </w:t>
      </w:r>
      <w:r w:rsidR="003B77B3" w:rsidRPr="00E47830">
        <w:rPr>
          <w:rFonts w:ascii="Arial" w:hAnsi="Arial" w:cs="Arial"/>
          <w:sz w:val="24"/>
          <w:szCs w:val="24"/>
        </w:rPr>
        <w:t>2 033</w:t>
      </w:r>
      <w:r w:rsidRPr="00E47830">
        <w:rPr>
          <w:rFonts w:ascii="Arial" w:hAnsi="Arial" w:cs="Arial"/>
          <w:sz w:val="24"/>
          <w:szCs w:val="24"/>
        </w:rPr>
        <w:t xml:space="preserve"> доллар</w:t>
      </w:r>
      <w:r w:rsidR="001F203C" w:rsidRPr="00E47830">
        <w:rPr>
          <w:rFonts w:ascii="Arial" w:hAnsi="Arial" w:cs="Arial"/>
          <w:sz w:val="24"/>
          <w:szCs w:val="24"/>
        </w:rPr>
        <w:t>а</w:t>
      </w:r>
      <w:r w:rsidR="00E47830" w:rsidRPr="00E47830">
        <w:rPr>
          <w:rFonts w:ascii="Arial" w:hAnsi="Arial" w:cs="Arial"/>
          <w:sz w:val="24"/>
          <w:szCs w:val="24"/>
        </w:rPr>
        <w:t xml:space="preserve"> </w:t>
      </w:r>
      <w:r w:rsidRPr="00E47830">
        <w:rPr>
          <w:rFonts w:ascii="Arial" w:hAnsi="Arial" w:cs="Arial"/>
          <w:sz w:val="24"/>
          <w:szCs w:val="24"/>
        </w:rPr>
        <w:t>на одного человека, указавшего факт вывоза и стоимость данного</w:t>
      </w:r>
      <w:r w:rsidR="00E47830" w:rsidRPr="00E47830">
        <w:rPr>
          <w:rFonts w:ascii="Arial" w:hAnsi="Arial" w:cs="Arial"/>
          <w:sz w:val="24"/>
          <w:szCs w:val="24"/>
        </w:rPr>
        <w:t xml:space="preserve"> </w:t>
      </w:r>
      <w:r w:rsidRPr="00E47830">
        <w:rPr>
          <w:rFonts w:ascii="Arial" w:hAnsi="Arial" w:cs="Arial"/>
          <w:sz w:val="24"/>
          <w:szCs w:val="24"/>
        </w:rPr>
        <w:t>вида товар</w:t>
      </w:r>
      <w:r w:rsidR="001D4E65" w:rsidRPr="00E47830">
        <w:rPr>
          <w:rFonts w:ascii="Arial" w:hAnsi="Arial" w:cs="Arial"/>
          <w:sz w:val="24"/>
          <w:szCs w:val="24"/>
        </w:rPr>
        <w:t>а</w:t>
      </w:r>
      <w:r w:rsidRPr="00E47830">
        <w:rPr>
          <w:rFonts w:ascii="Arial" w:hAnsi="Arial" w:cs="Arial"/>
          <w:sz w:val="24"/>
          <w:szCs w:val="24"/>
        </w:rPr>
        <w:t xml:space="preserve">), </w:t>
      </w:r>
      <w:r w:rsidR="003B77B3" w:rsidRPr="00E47830">
        <w:rPr>
          <w:rFonts w:ascii="Arial" w:hAnsi="Arial" w:cs="Arial"/>
          <w:sz w:val="24"/>
          <w:szCs w:val="24"/>
        </w:rPr>
        <w:t>шины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B77B3" w:rsidRPr="00E47830">
        <w:rPr>
          <w:rFonts w:ascii="Arial" w:hAnsi="Arial" w:cs="Arial"/>
          <w:sz w:val="24"/>
          <w:szCs w:val="24"/>
        </w:rPr>
        <w:t>и колеса (300 долларов), электрическая бытовая техника (260 долларов),</w:t>
      </w:r>
      <w:r w:rsidR="00E47830" w:rsidRPr="00E47830">
        <w:rPr>
          <w:rFonts w:ascii="Arial" w:hAnsi="Arial" w:cs="Arial"/>
          <w:sz w:val="24"/>
          <w:szCs w:val="24"/>
        </w:rPr>
        <w:t xml:space="preserve"> </w:t>
      </w:r>
      <w:r w:rsidR="003B77B3" w:rsidRPr="00E47830">
        <w:rPr>
          <w:rFonts w:ascii="Arial" w:hAnsi="Arial" w:cs="Arial"/>
          <w:sz w:val="24"/>
          <w:szCs w:val="24"/>
        </w:rPr>
        <w:t>телевизоры (200 долларов), игрушки, игры, спортивный инвентарь (143 доллара), электроинструмент, бензопилы (100 доллар</w:t>
      </w:r>
      <w:r w:rsidR="00DD20A6" w:rsidRPr="00E47830">
        <w:rPr>
          <w:rFonts w:ascii="Arial" w:hAnsi="Arial" w:cs="Arial"/>
          <w:sz w:val="24"/>
          <w:szCs w:val="24"/>
        </w:rPr>
        <w:t>ов</w:t>
      </w:r>
      <w:r w:rsidR="003B77B3" w:rsidRPr="00E47830">
        <w:rPr>
          <w:rFonts w:ascii="Arial" w:hAnsi="Arial" w:cs="Arial"/>
          <w:sz w:val="24"/>
          <w:szCs w:val="24"/>
        </w:rPr>
        <w:t>), обувь (70 долларов),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3B77B3" w:rsidRPr="00E47830">
        <w:rPr>
          <w:rFonts w:ascii="Arial" w:hAnsi="Arial" w:cs="Arial"/>
          <w:sz w:val="24"/>
          <w:szCs w:val="24"/>
        </w:rPr>
        <w:t>одежда (58 доллар</w:t>
      </w:r>
      <w:r w:rsidR="00DD20A6" w:rsidRPr="00E47830">
        <w:rPr>
          <w:rFonts w:ascii="Arial" w:hAnsi="Arial" w:cs="Arial"/>
          <w:sz w:val="24"/>
          <w:szCs w:val="24"/>
        </w:rPr>
        <w:t>ов</w:t>
      </w:r>
      <w:r w:rsidR="003B77B3" w:rsidRPr="00E47830">
        <w:rPr>
          <w:rFonts w:ascii="Arial" w:hAnsi="Arial" w:cs="Arial"/>
          <w:sz w:val="24"/>
          <w:szCs w:val="24"/>
        </w:rPr>
        <w:t>), бензин и дизельное</w:t>
      </w:r>
      <w:proofErr w:type="gramEnd"/>
      <w:r w:rsidR="003B77B3" w:rsidRPr="00E47830">
        <w:rPr>
          <w:rFonts w:ascii="Arial" w:hAnsi="Arial" w:cs="Arial"/>
          <w:sz w:val="24"/>
          <w:szCs w:val="24"/>
        </w:rPr>
        <w:t xml:space="preserve"> топливо (49 доллар</w:t>
      </w:r>
      <w:r w:rsidR="00DD20A6" w:rsidRPr="00E47830">
        <w:rPr>
          <w:rFonts w:ascii="Arial" w:hAnsi="Arial" w:cs="Arial"/>
          <w:sz w:val="24"/>
          <w:szCs w:val="24"/>
        </w:rPr>
        <w:t>ов</w:t>
      </w:r>
      <w:r w:rsidR="003B77B3" w:rsidRPr="00E47830">
        <w:rPr>
          <w:rFonts w:ascii="Arial" w:hAnsi="Arial" w:cs="Arial"/>
          <w:sz w:val="24"/>
          <w:szCs w:val="24"/>
        </w:rPr>
        <w:t>), продукты питания (23 доллар</w:t>
      </w:r>
      <w:r w:rsidR="00DD20A6" w:rsidRPr="00E47830">
        <w:rPr>
          <w:rFonts w:ascii="Arial" w:hAnsi="Arial" w:cs="Arial"/>
          <w:sz w:val="24"/>
          <w:szCs w:val="24"/>
        </w:rPr>
        <w:t>а</w:t>
      </w:r>
      <w:r w:rsidR="003B77B3" w:rsidRPr="00E47830">
        <w:rPr>
          <w:rFonts w:ascii="Arial" w:hAnsi="Arial" w:cs="Arial"/>
          <w:sz w:val="24"/>
          <w:szCs w:val="24"/>
        </w:rPr>
        <w:t>), автозапчасти</w:t>
      </w:r>
      <w:r w:rsidR="00EE7FF9" w:rsidRPr="00E47830">
        <w:rPr>
          <w:rFonts w:ascii="Arial" w:hAnsi="Arial" w:cs="Arial"/>
          <w:sz w:val="24"/>
          <w:szCs w:val="24"/>
        </w:rPr>
        <w:t xml:space="preserve"> </w:t>
      </w:r>
      <w:r w:rsidR="003B77B3" w:rsidRPr="00E47830">
        <w:rPr>
          <w:rFonts w:ascii="Arial" w:hAnsi="Arial" w:cs="Arial"/>
          <w:sz w:val="24"/>
          <w:szCs w:val="24"/>
        </w:rPr>
        <w:t>(20 долларов).</w:t>
      </w:r>
    </w:p>
    <w:p w:rsidR="007D2B58" w:rsidRPr="00126359" w:rsidRDefault="007D2B58" w:rsidP="007D2B58">
      <w:pPr>
        <w:pStyle w:val="2"/>
        <w:spacing w:line="200" w:lineRule="exact"/>
        <w:jc w:val="center"/>
        <w:rPr>
          <w:rFonts w:ascii="Arial" w:hAnsi="Arial" w:cs="Arial"/>
          <w:b/>
          <w:bCs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47830" w:rsidRPr="00E47830" w:rsidRDefault="00E47830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47830">
        <w:rPr>
          <w:rFonts w:ascii="Arial" w:hAnsi="Arial" w:cs="Arial"/>
          <w:sz w:val="24"/>
          <w:szCs w:val="24"/>
        </w:rPr>
        <w:t>Основной целью поездки граждан Республики Беларусь, выезжающих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Pr="00E47830">
        <w:rPr>
          <w:rFonts w:ascii="Arial" w:hAnsi="Arial" w:cs="Arial"/>
          <w:sz w:val="24"/>
          <w:szCs w:val="24"/>
        </w:rPr>
        <w:t>за ее пределы, являлось трудоустройство (28,4% от общего количества заполненных анкет), посещение родных и близких (24,6%) и приобретение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Pr="00E47830">
        <w:rPr>
          <w:rFonts w:ascii="Arial" w:hAnsi="Arial" w:cs="Arial"/>
          <w:sz w:val="24"/>
          <w:szCs w:val="24"/>
        </w:rPr>
        <w:t>или продажа товаров (18,3%). Для нерезидентов Республики Беларусь, въезжающих в нашу страну,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Pr="00E47830">
        <w:rPr>
          <w:rFonts w:ascii="Arial" w:hAnsi="Arial" w:cs="Arial"/>
          <w:sz w:val="24"/>
          <w:szCs w:val="24"/>
        </w:rPr>
        <w:t>посещение родных и близких (55,7%), приобретение или продажа товаров (16,2%) и отдых, лечение, экскурсии, паломничество (9,3%).</w:t>
      </w: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резидентов</w:t>
            </w:r>
            <w:r w:rsidR="00933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="00933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в Республику Беларусь</w:t>
            </w:r>
            <w:r w:rsidR="0093323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EA229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FF5C82D" wp14:editId="130D614F">
                  <wp:extent cx="3061253" cy="3148716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895277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35ACA07" wp14:editId="4D05161B">
                  <wp:extent cx="3140766" cy="3180522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51668A" w:rsidRPr="007D2B58" w:rsidRDefault="0051668A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7D2B58">
        <w:rPr>
          <w:rFonts w:ascii="Arial" w:hAnsi="Arial" w:cs="Arial"/>
          <w:sz w:val="24"/>
          <w:szCs w:val="24"/>
        </w:rPr>
        <w:t xml:space="preserve">Результаты обследования показали, что наибольшее количество опрошенных граждан Республики Беларусь </w:t>
      </w:r>
      <w:r w:rsidR="007924F1" w:rsidRPr="007D2B58">
        <w:rPr>
          <w:rFonts w:ascii="Arial" w:hAnsi="Arial" w:cs="Arial"/>
          <w:sz w:val="24"/>
          <w:szCs w:val="24"/>
        </w:rPr>
        <w:t>следова</w:t>
      </w:r>
      <w:r w:rsidRPr="007D2B58">
        <w:rPr>
          <w:rFonts w:ascii="Arial" w:hAnsi="Arial" w:cs="Arial"/>
          <w:sz w:val="24"/>
          <w:szCs w:val="24"/>
        </w:rPr>
        <w:t xml:space="preserve">ло </w:t>
      </w:r>
      <w:r w:rsidR="00225299" w:rsidRPr="007D2B58">
        <w:rPr>
          <w:rFonts w:ascii="Arial" w:hAnsi="Arial" w:cs="Arial"/>
          <w:sz w:val="24"/>
          <w:szCs w:val="24"/>
        </w:rPr>
        <w:t xml:space="preserve">в </w:t>
      </w:r>
      <w:r w:rsidR="0038785E" w:rsidRPr="007D2B58">
        <w:rPr>
          <w:rFonts w:ascii="Arial" w:hAnsi="Arial" w:cs="Arial"/>
          <w:sz w:val="24"/>
          <w:szCs w:val="24"/>
        </w:rPr>
        <w:t>Польшу (</w:t>
      </w:r>
      <w:r w:rsidR="00225299" w:rsidRPr="007D2B58">
        <w:rPr>
          <w:rFonts w:ascii="Arial" w:hAnsi="Arial" w:cs="Arial"/>
          <w:sz w:val="24"/>
          <w:szCs w:val="24"/>
        </w:rPr>
        <w:t>69,7</w:t>
      </w:r>
      <w:r w:rsidR="00620763" w:rsidRPr="007D2B58">
        <w:rPr>
          <w:rFonts w:ascii="Arial" w:hAnsi="Arial" w:cs="Arial"/>
          <w:sz w:val="24"/>
          <w:szCs w:val="24"/>
        </w:rPr>
        <w:t>%)</w:t>
      </w:r>
      <w:r w:rsidR="006849DF" w:rsidRPr="007D2B58">
        <w:rPr>
          <w:rFonts w:ascii="Arial" w:hAnsi="Arial" w:cs="Arial"/>
          <w:sz w:val="24"/>
          <w:szCs w:val="24"/>
        </w:rPr>
        <w:t>,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F82FE6" w:rsidRPr="007D2B58">
        <w:rPr>
          <w:rFonts w:ascii="Arial" w:hAnsi="Arial" w:cs="Arial"/>
          <w:sz w:val="24"/>
          <w:szCs w:val="24"/>
        </w:rPr>
        <w:t>Литву (</w:t>
      </w:r>
      <w:r w:rsidR="0038785E" w:rsidRPr="007D2B58">
        <w:rPr>
          <w:rFonts w:ascii="Arial" w:hAnsi="Arial" w:cs="Arial"/>
          <w:sz w:val="24"/>
          <w:szCs w:val="24"/>
        </w:rPr>
        <w:t>20</w:t>
      </w:r>
      <w:r w:rsidR="00620763" w:rsidRPr="007D2B58">
        <w:rPr>
          <w:rFonts w:ascii="Arial" w:hAnsi="Arial" w:cs="Arial"/>
          <w:sz w:val="24"/>
          <w:szCs w:val="24"/>
        </w:rPr>
        <w:t>,</w:t>
      </w:r>
      <w:r w:rsidR="00225299" w:rsidRPr="007D2B58">
        <w:rPr>
          <w:rFonts w:ascii="Arial" w:hAnsi="Arial" w:cs="Arial"/>
          <w:sz w:val="24"/>
          <w:szCs w:val="24"/>
        </w:rPr>
        <w:t>5</w:t>
      </w:r>
      <w:r w:rsidR="00F82FE6" w:rsidRPr="007D2B58">
        <w:rPr>
          <w:rFonts w:ascii="Arial" w:hAnsi="Arial" w:cs="Arial"/>
          <w:sz w:val="24"/>
          <w:szCs w:val="24"/>
        </w:rPr>
        <w:t>%)</w:t>
      </w:r>
      <w:r w:rsidR="0038785E" w:rsidRPr="007D2B58">
        <w:rPr>
          <w:rFonts w:ascii="Arial" w:hAnsi="Arial" w:cs="Arial"/>
          <w:sz w:val="24"/>
          <w:szCs w:val="24"/>
        </w:rPr>
        <w:t xml:space="preserve">, </w:t>
      </w:r>
      <w:r w:rsidR="00225299" w:rsidRPr="007D2B58">
        <w:rPr>
          <w:rFonts w:ascii="Arial" w:hAnsi="Arial" w:cs="Arial"/>
          <w:sz w:val="24"/>
          <w:szCs w:val="24"/>
        </w:rPr>
        <w:t xml:space="preserve">Латвию </w:t>
      </w:r>
      <w:r w:rsidR="0038785E" w:rsidRPr="007D2B58">
        <w:rPr>
          <w:rFonts w:ascii="Arial" w:hAnsi="Arial" w:cs="Arial"/>
          <w:sz w:val="24"/>
          <w:szCs w:val="24"/>
        </w:rPr>
        <w:t>(</w:t>
      </w:r>
      <w:r w:rsidR="00225299" w:rsidRPr="007D2B58">
        <w:rPr>
          <w:rFonts w:ascii="Arial" w:hAnsi="Arial" w:cs="Arial"/>
          <w:sz w:val="24"/>
          <w:szCs w:val="24"/>
        </w:rPr>
        <w:t>2,5%</w:t>
      </w:r>
      <w:r w:rsidR="0038785E" w:rsidRPr="007D2B58">
        <w:rPr>
          <w:rFonts w:ascii="Arial" w:hAnsi="Arial" w:cs="Arial"/>
          <w:sz w:val="24"/>
          <w:szCs w:val="24"/>
        </w:rPr>
        <w:t>)</w:t>
      </w:r>
      <w:r w:rsidR="00225299" w:rsidRPr="007D2B58">
        <w:rPr>
          <w:rFonts w:ascii="Arial" w:hAnsi="Arial" w:cs="Arial"/>
          <w:sz w:val="24"/>
          <w:szCs w:val="24"/>
        </w:rPr>
        <w:t xml:space="preserve"> и Германию (2,1%)</w:t>
      </w:r>
      <w:r w:rsidRPr="007D2B58">
        <w:rPr>
          <w:rFonts w:ascii="Arial" w:hAnsi="Arial" w:cs="Arial"/>
          <w:sz w:val="24"/>
          <w:szCs w:val="24"/>
        </w:rPr>
        <w:t>.</w:t>
      </w:r>
    </w:p>
    <w:p w:rsidR="0051668A" w:rsidRPr="007D2B58" w:rsidRDefault="009825B9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7D2B58">
        <w:rPr>
          <w:rFonts w:ascii="Arial" w:hAnsi="Arial" w:cs="Arial"/>
          <w:sz w:val="24"/>
          <w:szCs w:val="24"/>
        </w:rPr>
        <w:t xml:space="preserve">В </w:t>
      </w:r>
      <w:r w:rsidR="0051668A" w:rsidRPr="007D2B58">
        <w:rPr>
          <w:rFonts w:ascii="Arial" w:hAnsi="Arial" w:cs="Arial"/>
          <w:sz w:val="24"/>
          <w:szCs w:val="24"/>
        </w:rPr>
        <w:t>Республику Беларусь в это же время</w:t>
      </w:r>
      <w:r w:rsidRPr="007D2B58">
        <w:rPr>
          <w:rFonts w:ascii="Arial" w:hAnsi="Arial" w:cs="Arial"/>
          <w:sz w:val="24"/>
          <w:szCs w:val="24"/>
        </w:rPr>
        <w:t xml:space="preserve"> через автодорожные пункты пропуска</w:t>
      </w:r>
      <w:r w:rsidR="0051668A" w:rsidRPr="007D2B58">
        <w:rPr>
          <w:rFonts w:ascii="Arial" w:hAnsi="Arial" w:cs="Arial"/>
          <w:sz w:val="24"/>
          <w:szCs w:val="24"/>
        </w:rPr>
        <w:t xml:space="preserve"> </w:t>
      </w:r>
      <w:r w:rsidRPr="007D2B58">
        <w:rPr>
          <w:rFonts w:ascii="Arial" w:hAnsi="Arial" w:cs="Arial"/>
          <w:sz w:val="24"/>
          <w:szCs w:val="24"/>
        </w:rPr>
        <w:t xml:space="preserve">въезжали </w:t>
      </w:r>
      <w:r w:rsidR="0051668A" w:rsidRPr="007D2B58">
        <w:rPr>
          <w:rFonts w:ascii="Arial" w:hAnsi="Arial" w:cs="Arial"/>
          <w:sz w:val="24"/>
          <w:szCs w:val="24"/>
        </w:rPr>
        <w:t>преимущественно резиденты</w:t>
      </w:r>
      <w:r w:rsidR="007D2B58" w:rsidRPr="007D2B58">
        <w:rPr>
          <w:rFonts w:ascii="Arial" w:hAnsi="Arial" w:cs="Arial"/>
          <w:sz w:val="24"/>
          <w:szCs w:val="24"/>
        </w:rPr>
        <w:t xml:space="preserve"> </w:t>
      </w:r>
      <w:r w:rsidR="002E61C3" w:rsidRPr="007D2B58">
        <w:rPr>
          <w:rFonts w:ascii="Arial" w:hAnsi="Arial" w:cs="Arial"/>
          <w:sz w:val="24"/>
          <w:szCs w:val="24"/>
        </w:rPr>
        <w:t xml:space="preserve">Литвы </w:t>
      </w:r>
      <w:r w:rsidR="002165BD" w:rsidRPr="007D2B58">
        <w:rPr>
          <w:rFonts w:ascii="Arial" w:hAnsi="Arial" w:cs="Arial"/>
          <w:sz w:val="24"/>
          <w:szCs w:val="24"/>
        </w:rPr>
        <w:t>(</w:t>
      </w:r>
      <w:r w:rsidR="00225299" w:rsidRPr="007D2B58">
        <w:rPr>
          <w:rFonts w:ascii="Arial" w:hAnsi="Arial" w:cs="Arial"/>
          <w:sz w:val="24"/>
          <w:szCs w:val="24"/>
        </w:rPr>
        <w:t>55,3</w:t>
      </w:r>
      <w:r w:rsidR="002165BD" w:rsidRPr="007D2B58">
        <w:rPr>
          <w:rFonts w:ascii="Arial" w:hAnsi="Arial" w:cs="Arial"/>
          <w:sz w:val="24"/>
          <w:szCs w:val="24"/>
        </w:rPr>
        <w:t xml:space="preserve">%), </w:t>
      </w:r>
      <w:r w:rsidR="0051668A" w:rsidRPr="007D2B58">
        <w:rPr>
          <w:rFonts w:ascii="Arial" w:hAnsi="Arial" w:cs="Arial"/>
          <w:sz w:val="24"/>
          <w:szCs w:val="24"/>
        </w:rPr>
        <w:t xml:space="preserve">Латвии </w:t>
      </w:r>
      <w:r w:rsidR="002E61C3" w:rsidRPr="007D2B58">
        <w:rPr>
          <w:rFonts w:ascii="Arial" w:hAnsi="Arial" w:cs="Arial"/>
          <w:sz w:val="24"/>
          <w:szCs w:val="24"/>
        </w:rPr>
        <w:t>(1</w:t>
      </w:r>
      <w:r w:rsidR="0038785E" w:rsidRPr="007D2B58">
        <w:rPr>
          <w:rFonts w:ascii="Arial" w:hAnsi="Arial" w:cs="Arial"/>
          <w:sz w:val="24"/>
          <w:szCs w:val="24"/>
        </w:rPr>
        <w:t>7</w:t>
      </w:r>
      <w:r w:rsidR="002E61C3" w:rsidRPr="007D2B58">
        <w:rPr>
          <w:rFonts w:ascii="Arial" w:hAnsi="Arial" w:cs="Arial"/>
          <w:sz w:val="24"/>
          <w:szCs w:val="24"/>
        </w:rPr>
        <w:t>,</w:t>
      </w:r>
      <w:r w:rsidR="00225299" w:rsidRPr="007D2B58">
        <w:rPr>
          <w:rFonts w:ascii="Arial" w:hAnsi="Arial" w:cs="Arial"/>
          <w:sz w:val="24"/>
          <w:szCs w:val="24"/>
        </w:rPr>
        <w:t>9</w:t>
      </w:r>
      <w:r w:rsidR="002E61C3" w:rsidRPr="007D2B58">
        <w:rPr>
          <w:rFonts w:ascii="Arial" w:hAnsi="Arial" w:cs="Arial"/>
          <w:sz w:val="24"/>
          <w:szCs w:val="24"/>
        </w:rPr>
        <w:t>%)</w:t>
      </w:r>
      <w:r w:rsidR="001A4444" w:rsidRPr="007D2B58">
        <w:rPr>
          <w:rFonts w:ascii="Arial" w:hAnsi="Arial" w:cs="Arial"/>
          <w:sz w:val="24"/>
          <w:szCs w:val="24"/>
        </w:rPr>
        <w:t>, Польши</w:t>
      </w:r>
      <w:r w:rsidR="00936F48" w:rsidRPr="007D2B58">
        <w:rPr>
          <w:rFonts w:ascii="Arial" w:hAnsi="Arial" w:cs="Arial"/>
          <w:sz w:val="24"/>
          <w:szCs w:val="24"/>
        </w:rPr>
        <w:t xml:space="preserve"> </w:t>
      </w:r>
      <w:r w:rsidR="001A4444" w:rsidRPr="007D2B58">
        <w:rPr>
          <w:rFonts w:ascii="Arial" w:hAnsi="Arial" w:cs="Arial"/>
          <w:sz w:val="24"/>
          <w:szCs w:val="24"/>
        </w:rPr>
        <w:t>(</w:t>
      </w:r>
      <w:r w:rsidR="0038785E" w:rsidRPr="007D2B58">
        <w:rPr>
          <w:rFonts w:ascii="Arial" w:hAnsi="Arial" w:cs="Arial"/>
          <w:sz w:val="24"/>
          <w:szCs w:val="24"/>
        </w:rPr>
        <w:t>10</w:t>
      </w:r>
      <w:r w:rsidR="001A4444" w:rsidRPr="007D2B58">
        <w:rPr>
          <w:rFonts w:ascii="Arial" w:hAnsi="Arial" w:cs="Arial"/>
          <w:sz w:val="24"/>
          <w:szCs w:val="24"/>
        </w:rPr>
        <w:t>,</w:t>
      </w:r>
      <w:r w:rsidR="00225299" w:rsidRPr="007D2B58">
        <w:rPr>
          <w:rFonts w:ascii="Arial" w:hAnsi="Arial" w:cs="Arial"/>
          <w:sz w:val="24"/>
          <w:szCs w:val="24"/>
        </w:rPr>
        <w:t>4</w:t>
      </w:r>
      <w:r w:rsidR="001A4444" w:rsidRPr="007D2B58">
        <w:rPr>
          <w:rFonts w:ascii="Arial" w:hAnsi="Arial" w:cs="Arial"/>
          <w:sz w:val="24"/>
          <w:szCs w:val="24"/>
        </w:rPr>
        <w:t>%)</w:t>
      </w:r>
      <w:r w:rsidR="00225299" w:rsidRPr="007D2B58">
        <w:rPr>
          <w:rFonts w:ascii="Arial" w:hAnsi="Arial" w:cs="Arial"/>
          <w:sz w:val="24"/>
          <w:szCs w:val="24"/>
        </w:rPr>
        <w:t xml:space="preserve"> и Российской Федерации (7,9%)</w:t>
      </w:r>
      <w:r w:rsidR="002E61C3" w:rsidRPr="007D2B58">
        <w:rPr>
          <w:rFonts w:ascii="Arial" w:hAnsi="Arial" w:cs="Arial"/>
          <w:sz w:val="24"/>
          <w:szCs w:val="24"/>
        </w:rPr>
        <w:t>.</w:t>
      </w:r>
    </w:p>
    <w:p w:rsidR="00ED620F" w:rsidRPr="007D2B58" w:rsidRDefault="00ED620F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7D2B58">
        <w:rPr>
          <w:rFonts w:ascii="Arial" w:hAnsi="Arial" w:cs="Arial"/>
          <w:sz w:val="24"/>
          <w:szCs w:val="24"/>
        </w:rPr>
        <w:t xml:space="preserve">Поездки граждан Республики Беларусь </w:t>
      </w:r>
      <w:r w:rsidR="00EA31F8" w:rsidRPr="007D2B58">
        <w:rPr>
          <w:rFonts w:ascii="Arial" w:hAnsi="Arial" w:cs="Arial"/>
          <w:sz w:val="24"/>
          <w:szCs w:val="24"/>
        </w:rPr>
        <w:t xml:space="preserve">и иностранных граждан </w:t>
      </w:r>
      <w:r w:rsidRPr="007D2B58">
        <w:rPr>
          <w:rFonts w:ascii="Arial" w:hAnsi="Arial" w:cs="Arial"/>
          <w:sz w:val="24"/>
          <w:szCs w:val="24"/>
        </w:rPr>
        <w:t>в</w:t>
      </w:r>
      <w:r w:rsidR="001D4E65" w:rsidRPr="007D2B58">
        <w:rPr>
          <w:rFonts w:ascii="Arial" w:hAnsi="Arial" w:cs="Arial"/>
          <w:sz w:val="24"/>
          <w:szCs w:val="24"/>
        </w:rPr>
        <w:t>о время проведения обследования</w:t>
      </w:r>
      <w:r w:rsidRPr="007D2B58">
        <w:rPr>
          <w:rFonts w:ascii="Arial" w:hAnsi="Arial" w:cs="Arial"/>
          <w:sz w:val="24"/>
          <w:szCs w:val="24"/>
        </w:rPr>
        <w:t xml:space="preserve"> в основном были краткосрочными (на 3 дня и менее). Такую продолжительность поездки указало </w:t>
      </w:r>
      <w:r w:rsidR="00A30B64" w:rsidRPr="007D2B58">
        <w:rPr>
          <w:rFonts w:ascii="Arial" w:hAnsi="Arial" w:cs="Arial"/>
          <w:sz w:val="24"/>
          <w:szCs w:val="24"/>
        </w:rPr>
        <w:t>58,6</w:t>
      </w:r>
      <w:r w:rsidR="00C34BFA" w:rsidRPr="007D2B58">
        <w:rPr>
          <w:rFonts w:ascii="Arial" w:hAnsi="Arial" w:cs="Arial"/>
          <w:sz w:val="24"/>
          <w:szCs w:val="24"/>
        </w:rPr>
        <w:t xml:space="preserve">% </w:t>
      </w:r>
      <w:r w:rsidRPr="007D2B58">
        <w:rPr>
          <w:rFonts w:ascii="Arial" w:hAnsi="Arial" w:cs="Arial"/>
          <w:sz w:val="24"/>
          <w:szCs w:val="24"/>
        </w:rPr>
        <w:t xml:space="preserve">резидентов </w:t>
      </w:r>
      <w:r w:rsidR="00EA31F8" w:rsidRPr="007D2B58">
        <w:rPr>
          <w:rFonts w:ascii="Arial" w:hAnsi="Arial" w:cs="Arial"/>
          <w:sz w:val="24"/>
          <w:szCs w:val="24"/>
        </w:rPr>
        <w:t xml:space="preserve">и </w:t>
      </w:r>
      <w:r w:rsidR="009E7D4D" w:rsidRPr="007D2B58">
        <w:rPr>
          <w:rFonts w:ascii="Arial" w:hAnsi="Arial" w:cs="Arial"/>
          <w:sz w:val="24"/>
          <w:szCs w:val="24"/>
        </w:rPr>
        <w:t>7</w:t>
      </w:r>
      <w:r w:rsidR="00A30B64" w:rsidRPr="007D2B58">
        <w:rPr>
          <w:rFonts w:ascii="Arial" w:hAnsi="Arial" w:cs="Arial"/>
          <w:sz w:val="24"/>
          <w:szCs w:val="24"/>
        </w:rPr>
        <w:t>3,1</w:t>
      </w:r>
      <w:r w:rsidR="00C34BFA" w:rsidRPr="007D2B58">
        <w:rPr>
          <w:rFonts w:ascii="Arial" w:hAnsi="Arial" w:cs="Arial"/>
          <w:sz w:val="24"/>
          <w:szCs w:val="24"/>
        </w:rPr>
        <w:t>%</w:t>
      </w:r>
      <w:r w:rsidR="007D2B58" w:rsidRPr="007D2B58">
        <w:rPr>
          <w:rFonts w:ascii="Arial" w:hAnsi="Arial" w:cs="Arial"/>
          <w:sz w:val="24"/>
          <w:szCs w:val="24"/>
        </w:rPr>
        <w:t xml:space="preserve"> </w:t>
      </w:r>
      <w:r w:rsidR="00EA31F8" w:rsidRPr="007D2B58">
        <w:rPr>
          <w:rFonts w:ascii="Arial" w:hAnsi="Arial" w:cs="Arial"/>
          <w:sz w:val="24"/>
          <w:szCs w:val="24"/>
        </w:rPr>
        <w:t xml:space="preserve">нерезидентов </w:t>
      </w:r>
      <w:r w:rsidRPr="007D2B58">
        <w:rPr>
          <w:rFonts w:ascii="Arial" w:hAnsi="Arial" w:cs="Arial"/>
          <w:sz w:val="24"/>
          <w:szCs w:val="24"/>
        </w:rPr>
        <w:t>Республики Беларусь.</w:t>
      </w:r>
    </w:p>
    <w:p w:rsidR="0041695C" w:rsidRPr="007D2B58" w:rsidRDefault="001C08F6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7D2B58">
        <w:rPr>
          <w:rFonts w:ascii="Arial" w:hAnsi="Arial" w:cs="Arial"/>
          <w:sz w:val="24"/>
          <w:szCs w:val="24"/>
        </w:rPr>
        <w:t>Резиденты</w:t>
      </w:r>
      <w:r w:rsidR="0041695C" w:rsidRPr="007D2B58">
        <w:rPr>
          <w:rFonts w:ascii="Arial" w:hAnsi="Arial" w:cs="Arial"/>
          <w:sz w:val="24"/>
          <w:szCs w:val="24"/>
        </w:rPr>
        <w:t xml:space="preserve"> нашей страны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="009160AC" w:rsidRPr="007D2B58">
        <w:rPr>
          <w:rFonts w:ascii="Arial" w:hAnsi="Arial" w:cs="Arial"/>
          <w:sz w:val="24"/>
          <w:szCs w:val="24"/>
        </w:rPr>
        <w:t>26,1%</w:t>
      </w:r>
      <w:r w:rsidR="005F1648" w:rsidRPr="007D2B58">
        <w:rPr>
          <w:rFonts w:ascii="Arial" w:hAnsi="Arial" w:cs="Arial"/>
          <w:sz w:val="24"/>
          <w:szCs w:val="24"/>
        </w:rPr>
        <w:t xml:space="preserve"> от</w:t>
      </w:r>
      <w:r w:rsidR="009160AC" w:rsidRPr="007D2B58">
        <w:rPr>
          <w:rFonts w:ascii="Arial" w:hAnsi="Arial" w:cs="Arial"/>
          <w:sz w:val="24"/>
          <w:szCs w:val="24"/>
        </w:rPr>
        <w:t xml:space="preserve"> общего числа лиц</w:t>
      </w:r>
      <w:r w:rsidR="00080813">
        <w:rPr>
          <w:rFonts w:ascii="Arial" w:hAnsi="Arial" w:cs="Arial"/>
          <w:sz w:val="24"/>
          <w:szCs w:val="24"/>
        </w:rPr>
        <w:t>,</w:t>
      </w:r>
      <w:r w:rsidR="009160AC" w:rsidRPr="007D2B58">
        <w:rPr>
          <w:rFonts w:ascii="Arial" w:hAnsi="Arial" w:cs="Arial"/>
          <w:sz w:val="24"/>
          <w:szCs w:val="24"/>
        </w:rPr>
        <w:t xml:space="preserve"> заполнивших анкеты </w:t>
      </w:r>
      <w:r w:rsidR="0041695C" w:rsidRPr="007D2B58">
        <w:rPr>
          <w:rFonts w:ascii="Arial" w:hAnsi="Arial" w:cs="Arial"/>
          <w:sz w:val="24"/>
          <w:szCs w:val="24"/>
        </w:rPr>
        <w:t>во время поездки</w:t>
      </w:r>
      <w:r w:rsidR="00080813">
        <w:rPr>
          <w:rFonts w:ascii="Arial" w:hAnsi="Arial" w:cs="Arial"/>
          <w:sz w:val="24"/>
          <w:szCs w:val="24"/>
        </w:rPr>
        <w:t>,</w:t>
      </w:r>
      <w:r w:rsidR="0041695C" w:rsidRPr="007D2B58">
        <w:rPr>
          <w:rFonts w:ascii="Arial" w:hAnsi="Arial" w:cs="Arial"/>
          <w:sz w:val="24"/>
          <w:szCs w:val="24"/>
        </w:rPr>
        <w:t xml:space="preserve"> воспользовались услугами частного жилья, путешествовали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41695C" w:rsidRPr="007D2B58">
        <w:rPr>
          <w:rFonts w:ascii="Arial" w:hAnsi="Arial" w:cs="Arial"/>
          <w:sz w:val="24"/>
          <w:szCs w:val="24"/>
        </w:rPr>
        <w:t>без ночлега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="0041695C" w:rsidRPr="007D2B58">
        <w:rPr>
          <w:rFonts w:ascii="Arial" w:hAnsi="Arial" w:cs="Arial"/>
          <w:sz w:val="24"/>
          <w:szCs w:val="24"/>
        </w:rPr>
        <w:t>25,3% граждан республики, размещались в поездке у родных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41695C" w:rsidRPr="007D2B58">
        <w:rPr>
          <w:rFonts w:ascii="Arial" w:hAnsi="Arial" w:cs="Arial"/>
          <w:sz w:val="24"/>
          <w:szCs w:val="24"/>
        </w:rPr>
        <w:t>и близких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="0041695C" w:rsidRPr="007D2B58">
        <w:rPr>
          <w:rFonts w:ascii="Arial" w:hAnsi="Arial" w:cs="Arial"/>
          <w:sz w:val="24"/>
          <w:szCs w:val="24"/>
        </w:rPr>
        <w:t>23,3%, располагались</w:t>
      </w:r>
      <w:r w:rsidRPr="007D2B58">
        <w:rPr>
          <w:rFonts w:ascii="Arial" w:hAnsi="Arial" w:cs="Arial"/>
          <w:sz w:val="24"/>
          <w:szCs w:val="24"/>
        </w:rPr>
        <w:t xml:space="preserve"> </w:t>
      </w:r>
      <w:r w:rsidR="0041695C" w:rsidRPr="007D2B58">
        <w:rPr>
          <w:rFonts w:ascii="Arial" w:hAnsi="Arial" w:cs="Arial"/>
          <w:sz w:val="24"/>
          <w:szCs w:val="24"/>
        </w:rPr>
        <w:t>в гостинице</w:t>
      </w:r>
      <w:r w:rsidR="00933230">
        <w:rPr>
          <w:rFonts w:ascii="Arial" w:hAnsi="Arial" w:cs="Arial"/>
          <w:sz w:val="24"/>
          <w:szCs w:val="24"/>
        </w:rPr>
        <w:t xml:space="preserve"> – </w:t>
      </w:r>
      <w:r w:rsidR="0041695C" w:rsidRPr="007D2B58">
        <w:rPr>
          <w:rFonts w:ascii="Arial" w:hAnsi="Arial" w:cs="Arial"/>
          <w:sz w:val="24"/>
          <w:szCs w:val="24"/>
        </w:rPr>
        <w:t>21,1%.</w:t>
      </w:r>
    </w:p>
    <w:p w:rsidR="00852039" w:rsidRPr="007D2B58" w:rsidRDefault="009160AC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sz w:val="30"/>
          <w:szCs w:val="30"/>
        </w:rPr>
        <w:t xml:space="preserve"> </w:t>
      </w:r>
      <w:r w:rsidR="00852039" w:rsidRPr="007D2B58">
        <w:rPr>
          <w:rFonts w:ascii="Arial" w:hAnsi="Arial" w:cs="Arial"/>
          <w:sz w:val="24"/>
          <w:szCs w:val="24"/>
        </w:rPr>
        <w:t xml:space="preserve">Нерезиденты Республики Беларусь </w:t>
      </w:r>
      <w:r w:rsidR="008D1EF7" w:rsidRPr="007D2B58">
        <w:rPr>
          <w:rFonts w:ascii="Arial" w:hAnsi="Arial" w:cs="Arial"/>
          <w:sz w:val="24"/>
          <w:szCs w:val="24"/>
        </w:rPr>
        <w:t xml:space="preserve">в поездке </w:t>
      </w:r>
      <w:r w:rsidR="000A29A1" w:rsidRPr="007D2B58">
        <w:rPr>
          <w:rFonts w:ascii="Arial" w:hAnsi="Arial" w:cs="Arial"/>
          <w:sz w:val="24"/>
          <w:szCs w:val="24"/>
        </w:rPr>
        <w:t>останавливались</w:t>
      </w:r>
      <w:r w:rsidR="007D2B58" w:rsidRPr="007D2B58">
        <w:rPr>
          <w:rFonts w:ascii="Arial" w:hAnsi="Arial" w:cs="Arial"/>
          <w:sz w:val="24"/>
          <w:szCs w:val="24"/>
        </w:rPr>
        <w:t xml:space="preserve"> </w:t>
      </w:r>
      <w:r w:rsidR="008D1EF7" w:rsidRPr="007D2B58">
        <w:rPr>
          <w:rFonts w:ascii="Arial" w:hAnsi="Arial" w:cs="Arial"/>
          <w:sz w:val="24"/>
          <w:szCs w:val="24"/>
        </w:rPr>
        <w:t>у родных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="008D1EF7" w:rsidRPr="007D2B58">
        <w:rPr>
          <w:rFonts w:ascii="Arial" w:hAnsi="Arial" w:cs="Arial"/>
          <w:sz w:val="24"/>
          <w:szCs w:val="24"/>
        </w:rPr>
        <w:t>и близких (38,8%), путешествовали без ночлега (34,3%),</w:t>
      </w:r>
      <w:r w:rsidR="00852039" w:rsidRPr="007D2B58">
        <w:rPr>
          <w:rFonts w:ascii="Arial" w:hAnsi="Arial" w:cs="Arial"/>
          <w:sz w:val="24"/>
          <w:szCs w:val="24"/>
        </w:rPr>
        <w:t xml:space="preserve"> а также </w:t>
      </w:r>
      <w:r w:rsidR="00EF7CCD" w:rsidRPr="007D2B58">
        <w:rPr>
          <w:rFonts w:ascii="Arial" w:hAnsi="Arial" w:cs="Arial"/>
          <w:sz w:val="24"/>
          <w:szCs w:val="24"/>
        </w:rPr>
        <w:t xml:space="preserve">в равной мере </w:t>
      </w:r>
      <w:r w:rsidR="00852039" w:rsidRPr="007D2B58">
        <w:rPr>
          <w:rFonts w:ascii="Arial" w:hAnsi="Arial" w:cs="Arial"/>
          <w:sz w:val="24"/>
          <w:szCs w:val="24"/>
        </w:rPr>
        <w:t xml:space="preserve">воспользовались услугами гостиниц </w:t>
      </w:r>
      <w:r w:rsidR="00EF7CCD" w:rsidRPr="007D2B58">
        <w:rPr>
          <w:rFonts w:ascii="Arial" w:hAnsi="Arial" w:cs="Arial"/>
          <w:sz w:val="24"/>
          <w:szCs w:val="24"/>
        </w:rPr>
        <w:t xml:space="preserve">(11,6%) </w:t>
      </w:r>
      <w:r w:rsidR="003C1B32" w:rsidRPr="007D2B58">
        <w:rPr>
          <w:rFonts w:ascii="Arial" w:hAnsi="Arial" w:cs="Arial"/>
          <w:sz w:val="24"/>
          <w:szCs w:val="24"/>
        </w:rPr>
        <w:t xml:space="preserve">и </w:t>
      </w:r>
      <w:r w:rsidR="001C08F6" w:rsidRPr="007D2B58">
        <w:rPr>
          <w:rFonts w:ascii="Arial" w:hAnsi="Arial" w:cs="Arial"/>
          <w:sz w:val="24"/>
          <w:szCs w:val="24"/>
        </w:rPr>
        <w:t xml:space="preserve">услугами </w:t>
      </w:r>
      <w:r w:rsidR="003C1B32" w:rsidRPr="007D2B58">
        <w:rPr>
          <w:rFonts w:ascii="Arial" w:hAnsi="Arial" w:cs="Arial"/>
          <w:sz w:val="24"/>
          <w:szCs w:val="24"/>
        </w:rPr>
        <w:t>частн</w:t>
      </w:r>
      <w:r w:rsidR="00241E45" w:rsidRPr="007D2B58">
        <w:rPr>
          <w:rFonts w:ascii="Arial" w:hAnsi="Arial" w:cs="Arial"/>
          <w:sz w:val="24"/>
          <w:szCs w:val="24"/>
        </w:rPr>
        <w:t>ого</w:t>
      </w:r>
      <w:r w:rsidR="003C1B32" w:rsidRPr="007D2B58">
        <w:rPr>
          <w:rFonts w:ascii="Arial" w:hAnsi="Arial" w:cs="Arial"/>
          <w:sz w:val="24"/>
          <w:szCs w:val="24"/>
        </w:rPr>
        <w:t xml:space="preserve"> жиль</w:t>
      </w:r>
      <w:r w:rsidR="00241E45" w:rsidRPr="007D2B58">
        <w:rPr>
          <w:rFonts w:ascii="Arial" w:hAnsi="Arial" w:cs="Arial"/>
          <w:sz w:val="24"/>
          <w:szCs w:val="24"/>
        </w:rPr>
        <w:t>я</w:t>
      </w:r>
      <w:r w:rsidR="003C1B32" w:rsidRPr="007D2B58">
        <w:rPr>
          <w:rFonts w:ascii="Arial" w:hAnsi="Arial" w:cs="Arial"/>
          <w:sz w:val="24"/>
          <w:szCs w:val="24"/>
        </w:rPr>
        <w:t xml:space="preserve"> </w:t>
      </w:r>
      <w:r w:rsidR="00EF7CCD" w:rsidRPr="007D2B58">
        <w:rPr>
          <w:rFonts w:ascii="Arial" w:hAnsi="Arial" w:cs="Arial"/>
          <w:sz w:val="24"/>
          <w:szCs w:val="24"/>
        </w:rPr>
        <w:t>(</w:t>
      </w:r>
      <w:r w:rsidR="008D1EF7" w:rsidRPr="007D2B58">
        <w:rPr>
          <w:rFonts w:ascii="Arial" w:hAnsi="Arial" w:cs="Arial"/>
          <w:sz w:val="24"/>
          <w:szCs w:val="24"/>
        </w:rPr>
        <w:t>11,5</w:t>
      </w:r>
      <w:r w:rsidR="003C1B32" w:rsidRPr="007D2B58">
        <w:rPr>
          <w:rFonts w:ascii="Arial" w:hAnsi="Arial" w:cs="Arial"/>
          <w:sz w:val="24"/>
          <w:szCs w:val="24"/>
        </w:rPr>
        <w:t>%</w:t>
      </w:r>
      <w:r w:rsidR="001D4E65" w:rsidRPr="007D2B58">
        <w:rPr>
          <w:rFonts w:ascii="Arial" w:hAnsi="Arial" w:cs="Arial"/>
          <w:sz w:val="24"/>
          <w:szCs w:val="24"/>
        </w:rPr>
        <w:t>)</w:t>
      </w:r>
      <w:r w:rsidR="00852039" w:rsidRPr="007D2B58">
        <w:rPr>
          <w:rFonts w:ascii="Arial" w:hAnsi="Arial" w:cs="Arial"/>
          <w:sz w:val="24"/>
          <w:szCs w:val="24"/>
        </w:rPr>
        <w:t>.</w:t>
      </w:r>
      <w:r w:rsidR="006178FA" w:rsidRPr="007D2B58">
        <w:rPr>
          <w:rFonts w:ascii="Arial" w:hAnsi="Arial" w:cs="Arial"/>
          <w:sz w:val="24"/>
          <w:szCs w:val="24"/>
        </w:rPr>
        <w:t xml:space="preserve"> </w:t>
      </w:r>
    </w:p>
    <w:p w:rsidR="007B1A40" w:rsidRPr="007D2B58" w:rsidRDefault="0051668A" w:rsidP="007D2B5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7D2B58">
        <w:rPr>
          <w:rFonts w:ascii="Arial" w:hAnsi="Arial" w:cs="Arial"/>
          <w:sz w:val="24"/>
          <w:szCs w:val="24"/>
        </w:rPr>
        <w:t xml:space="preserve">Основная часть опрошенных резидентов и нерезидентов Республики Беларусь </w:t>
      </w:r>
      <w:r w:rsidR="00F25129" w:rsidRPr="007D2B58">
        <w:rPr>
          <w:rFonts w:ascii="Arial" w:hAnsi="Arial" w:cs="Arial"/>
          <w:sz w:val="24"/>
          <w:szCs w:val="24"/>
        </w:rPr>
        <w:t>(</w:t>
      </w:r>
      <w:r w:rsidR="001F75BA" w:rsidRPr="007D2B58">
        <w:rPr>
          <w:rFonts w:ascii="Arial" w:hAnsi="Arial" w:cs="Arial"/>
          <w:sz w:val="24"/>
          <w:szCs w:val="24"/>
        </w:rPr>
        <w:t>40% и 45,7% от общего числа заполнивших анкеты соответственно)</w:t>
      </w:r>
      <w:r w:rsidR="00933230">
        <w:rPr>
          <w:rFonts w:ascii="Arial" w:hAnsi="Arial" w:cs="Arial"/>
          <w:sz w:val="24"/>
          <w:szCs w:val="24"/>
        </w:rPr>
        <w:t xml:space="preserve"> </w:t>
      </w:r>
      <w:r w:rsidRPr="007D2B58">
        <w:rPr>
          <w:rFonts w:ascii="Arial" w:hAnsi="Arial" w:cs="Arial"/>
          <w:sz w:val="24"/>
          <w:szCs w:val="24"/>
        </w:rPr>
        <w:t xml:space="preserve">указала, что личные расходы во время поездки </w:t>
      </w:r>
      <w:r w:rsidR="00080813">
        <w:rPr>
          <w:rFonts w:ascii="Arial" w:hAnsi="Arial" w:cs="Arial"/>
          <w:sz w:val="24"/>
          <w:szCs w:val="24"/>
        </w:rPr>
        <w:t xml:space="preserve">за границу (на покупку товаров, </w:t>
      </w:r>
      <w:r w:rsidRPr="007D2B58">
        <w:rPr>
          <w:rFonts w:ascii="Arial" w:hAnsi="Arial" w:cs="Arial"/>
          <w:sz w:val="24"/>
          <w:szCs w:val="24"/>
        </w:rPr>
        <w:t>питание и</w:t>
      </w:r>
      <w:r w:rsidR="00E439C5" w:rsidRPr="007D2B58">
        <w:rPr>
          <w:rFonts w:ascii="Arial" w:hAnsi="Arial" w:cs="Arial"/>
          <w:sz w:val="24"/>
          <w:szCs w:val="24"/>
        </w:rPr>
        <w:t xml:space="preserve"> </w:t>
      </w:r>
      <w:r w:rsidRPr="007D2B58">
        <w:rPr>
          <w:rFonts w:ascii="Arial" w:hAnsi="Arial" w:cs="Arial"/>
          <w:sz w:val="24"/>
          <w:szCs w:val="24"/>
        </w:rPr>
        <w:t xml:space="preserve">жилье) не превысили </w:t>
      </w:r>
      <w:r w:rsidR="00E439C5" w:rsidRPr="007D2B58">
        <w:rPr>
          <w:rFonts w:ascii="Arial" w:hAnsi="Arial" w:cs="Arial"/>
          <w:sz w:val="24"/>
          <w:szCs w:val="24"/>
        </w:rPr>
        <w:t>5</w:t>
      </w:r>
      <w:r w:rsidRPr="007D2B58">
        <w:rPr>
          <w:rFonts w:ascii="Arial" w:hAnsi="Arial" w:cs="Arial"/>
          <w:sz w:val="24"/>
          <w:szCs w:val="24"/>
        </w:rPr>
        <w:t xml:space="preserve">00 долларов. </w:t>
      </w:r>
    </w:p>
    <w:p w:rsidR="00300AFA" w:rsidRPr="007D2B58" w:rsidRDefault="00300AFA" w:rsidP="00233F21">
      <w:pPr>
        <w:pStyle w:val="2"/>
        <w:spacing w:line="160" w:lineRule="exact"/>
        <w:ind w:firstLine="709"/>
        <w:rPr>
          <w:b/>
          <w:sz w:val="30"/>
          <w:szCs w:val="30"/>
        </w:rPr>
      </w:pP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2F2682" w:rsidRDefault="00300AFA" w:rsidP="00300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233F21">
        <w:rPr>
          <w:rFonts w:ascii="Arial" w:hAnsi="Arial" w:cs="Arial"/>
          <w:bCs/>
          <w:i/>
          <w:iCs/>
        </w:rPr>
        <w:t xml:space="preserve"> ссылка на Национальный статистический</w:t>
      </w:r>
      <w:r w:rsidRPr="002F2682">
        <w:rPr>
          <w:rFonts w:ascii="Arial" w:hAnsi="Arial" w:cs="Arial"/>
          <w:bCs/>
          <w:i/>
          <w:iCs/>
        </w:rPr>
        <w:t xml:space="preserve"> комитет Республики Беларусь является обязательной</w:t>
      </w:r>
      <w:r w:rsidRPr="002F2682">
        <w:rPr>
          <w:rFonts w:ascii="Arial" w:hAnsi="Arial" w:cs="Arial"/>
          <w:b/>
          <w:bCs/>
          <w:i/>
          <w:iCs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Телефон: +375 17 3</w:t>
            </w:r>
            <w:r w:rsidRPr="00300AFA">
              <w:rPr>
                <w:rFonts w:ascii="Arial" w:hAnsi="Arial" w:cs="Arial"/>
                <w:sz w:val="18"/>
                <w:szCs w:val="18"/>
              </w:rPr>
              <w:t>50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23</w:t>
            </w:r>
            <w:r w:rsidRPr="00D91653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/>
              </w:rPr>
              <w:t>81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F2682">
              <w:rPr>
                <w:rFonts w:ascii="Arial" w:hAnsi="Arial" w:cs="Arial"/>
                <w:sz w:val="18"/>
                <w:szCs w:val="18"/>
              </w:rPr>
              <w:t>-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Pr="002F2682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proofErr w:type="spellEnd"/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2F2682">
              <w:rPr>
                <w:rFonts w:ascii="Arial" w:hAnsi="Arial" w:cs="Arial"/>
                <w:sz w:val="18"/>
                <w:szCs w:val="18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220070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2682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2F2682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F2682">
              <w:rPr>
                <w:rFonts w:ascii="Arial" w:hAnsi="Arial" w:cs="Arial"/>
                <w:sz w:val="18"/>
                <w:szCs w:val="18"/>
              </w:rPr>
              <w:t>инск</w:t>
            </w:r>
            <w:proofErr w:type="spellEnd"/>
            <w:r w:rsidRPr="002F268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>осп</w:t>
            </w:r>
            <w:r w:rsidRPr="002F2682">
              <w:rPr>
                <w:rFonts w:ascii="Arial" w:hAnsi="Arial" w:cs="Arial"/>
                <w:sz w:val="18"/>
                <w:szCs w:val="18"/>
              </w:rPr>
              <w:t>. Партизанский, 12</w:t>
            </w:r>
          </w:p>
        </w:tc>
      </w:tr>
    </w:tbl>
    <w:p w:rsidR="00A95698" w:rsidRPr="00A95698" w:rsidRDefault="00A95698" w:rsidP="00A95698">
      <w:pPr>
        <w:rPr>
          <w:rFonts w:ascii="Times New Roman" w:eastAsia="Times New Roman" w:hAnsi="Times New Roman"/>
          <w:b/>
          <w:sz w:val="2"/>
          <w:szCs w:val="2"/>
          <w:lang w:eastAsia="ru-RU"/>
        </w:rPr>
      </w:pPr>
      <w:bookmarkStart w:id="0" w:name="_GoBack"/>
      <w:bookmarkEnd w:id="0"/>
    </w:p>
    <w:sectPr w:rsidR="00A95698" w:rsidRPr="00A95698" w:rsidSect="00E47830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D0" w:rsidRDefault="002255D0" w:rsidP="002668C7">
      <w:pPr>
        <w:spacing w:after="0" w:line="240" w:lineRule="auto"/>
      </w:pPr>
      <w:r>
        <w:separator/>
      </w:r>
    </w:p>
  </w:endnote>
  <w:endnote w:type="continuationSeparator" w:id="0">
    <w:p w:rsidR="002255D0" w:rsidRDefault="002255D0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D0" w:rsidRDefault="002255D0" w:rsidP="002668C7">
      <w:pPr>
        <w:spacing w:after="0" w:line="240" w:lineRule="auto"/>
      </w:pPr>
      <w:r>
        <w:separator/>
      </w:r>
    </w:p>
  </w:footnote>
  <w:footnote w:type="continuationSeparator" w:id="0">
    <w:p w:rsidR="002255D0" w:rsidRDefault="002255D0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5698" w:rsidRDefault="00F77E6B" w:rsidP="00A95698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A95698">
          <w:rPr>
            <w:rFonts w:ascii="Times New Roman" w:hAnsi="Times New Roman"/>
            <w:noProof/>
          </w:rPr>
          <w:t>3</w:t>
        </w:r>
        <w:r w:rsidRPr="002D69F7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125F9"/>
    <w:rsid w:val="000436E8"/>
    <w:rsid w:val="00047519"/>
    <w:rsid w:val="00050430"/>
    <w:rsid w:val="00071499"/>
    <w:rsid w:val="000718AF"/>
    <w:rsid w:val="00076C7C"/>
    <w:rsid w:val="00080813"/>
    <w:rsid w:val="000847D6"/>
    <w:rsid w:val="000851D7"/>
    <w:rsid w:val="00095A14"/>
    <w:rsid w:val="00097ABC"/>
    <w:rsid w:val="00097BB1"/>
    <w:rsid w:val="000A29A1"/>
    <w:rsid w:val="000B100A"/>
    <w:rsid w:val="000C029E"/>
    <w:rsid w:val="000D3BE1"/>
    <w:rsid w:val="000E0F0E"/>
    <w:rsid w:val="000E2651"/>
    <w:rsid w:val="000E6460"/>
    <w:rsid w:val="000F7CD2"/>
    <w:rsid w:val="00107766"/>
    <w:rsid w:val="001105E6"/>
    <w:rsid w:val="001107BF"/>
    <w:rsid w:val="00117281"/>
    <w:rsid w:val="00126359"/>
    <w:rsid w:val="0012640E"/>
    <w:rsid w:val="00144CE2"/>
    <w:rsid w:val="00155F3C"/>
    <w:rsid w:val="00163223"/>
    <w:rsid w:val="00175175"/>
    <w:rsid w:val="001802FB"/>
    <w:rsid w:val="00190065"/>
    <w:rsid w:val="0019393F"/>
    <w:rsid w:val="001A4444"/>
    <w:rsid w:val="001B061C"/>
    <w:rsid w:val="001C01C1"/>
    <w:rsid w:val="001C08F6"/>
    <w:rsid w:val="001C1016"/>
    <w:rsid w:val="001C36B9"/>
    <w:rsid w:val="001C486B"/>
    <w:rsid w:val="001D1069"/>
    <w:rsid w:val="001D4E65"/>
    <w:rsid w:val="001D5138"/>
    <w:rsid w:val="001D5218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5299"/>
    <w:rsid w:val="002255D0"/>
    <w:rsid w:val="00227E04"/>
    <w:rsid w:val="00232E87"/>
    <w:rsid w:val="00233F21"/>
    <w:rsid w:val="00235673"/>
    <w:rsid w:val="00241E45"/>
    <w:rsid w:val="0024296C"/>
    <w:rsid w:val="002449C7"/>
    <w:rsid w:val="00247127"/>
    <w:rsid w:val="00262A5E"/>
    <w:rsid w:val="00264628"/>
    <w:rsid w:val="002668C7"/>
    <w:rsid w:val="0027439B"/>
    <w:rsid w:val="00276261"/>
    <w:rsid w:val="00277134"/>
    <w:rsid w:val="00281AF5"/>
    <w:rsid w:val="002916DE"/>
    <w:rsid w:val="00295265"/>
    <w:rsid w:val="00297073"/>
    <w:rsid w:val="002973F1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1C3"/>
    <w:rsid w:val="00300AFA"/>
    <w:rsid w:val="003017F1"/>
    <w:rsid w:val="0030503E"/>
    <w:rsid w:val="003125A8"/>
    <w:rsid w:val="0032369E"/>
    <w:rsid w:val="0033436C"/>
    <w:rsid w:val="00341EE5"/>
    <w:rsid w:val="00342AA6"/>
    <w:rsid w:val="00347A71"/>
    <w:rsid w:val="00353F9C"/>
    <w:rsid w:val="00354223"/>
    <w:rsid w:val="00355EDD"/>
    <w:rsid w:val="003659A0"/>
    <w:rsid w:val="00373C81"/>
    <w:rsid w:val="00387415"/>
    <w:rsid w:val="0038785E"/>
    <w:rsid w:val="003A2F76"/>
    <w:rsid w:val="003B17EA"/>
    <w:rsid w:val="003B4942"/>
    <w:rsid w:val="003B59BA"/>
    <w:rsid w:val="003B77B3"/>
    <w:rsid w:val="003C0FA5"/>
    <w:rsid w:val="003C1B32"/>
    <w:rsid w:val="003C1F5E"/>
    <w:rsid w:val="003C1FFA"/>
    <w:rsid w:val="003D1BAE"/>
    <w:rsid w:val="003D21B1"/>
    <w:rsid w:val="003D55A7"/>
    <w:rsid w:val="003E5463"/>
    <w:rsid w:val="003F2FBE"/>
    <w:rsid w:val="003F3AB3"/>
    <w:rsid w:val="00400374"/>
    <w:rsid w:val="00411938"/>
    <w:rsid w:val="00412F01"/>
    <w:rsid w:val="0041695C"/>
    <w:rsid w:val="00417813"/>
    <w:rsid w:val="004229E3"/>
    <w:rsid w:val="00437AC5"/>
    <w:rsid w:val="00440CA4"/>
    <w:rsid w:val="004575C3"/>
    <w:rsid w:val="004660DD"/>
    <w:rsid w:val="00475194"/>
    <w:rsid w:val="00490D79"/>
    <w:rsid w:val="00496CA0"/>
    <w:rsid w:val="004A3396"/>
    <w:rsid w:val="004A6E38"/>
    <w:rsid w:val="004B459B"/>
    <w:rsid w:val="004E5F87"/>
    <w:rsid w:val="004F1C29"/>
    <w:rsid w:val="005001E9"/>
    <w:rsid w:val="00503966"/>
    <w:rsid w:val="00504306"/>
    <w:rsid w:val="00506EA8"/>
    <w:rsid w:val="00510FB9"/>
    <w:rsid w:val="0051668A"/>
    <w:rsid w:val="00524D1E"/>
    <w:rsid w:val="00527585"/>
    <w:rsid w:val="00537DA5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4737"/>
    <w:rsid w:val="005A5ECB"/>
    <w:rsid w:val="005B1CF0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6053F5"/>
    <w:rsid w:val="00612408"/>
    <w:rsid w:val="006178FA"/>
    <w:rsid w:val="00620763"/>
    <w:rsid w:val="00621A27"/>
    <w:rsid w:val="00633F25"/>
    <w:rsid w:val="006443AB"/>
    <w:rsid w:val="006546B4"/>
    <w:rsid w:val="006558E7"/>
    <w:rsid w:val="00665B61"/>
    <w:rsid w:val="006717AF"/>
    <w:rsid w:val="0068194E"/>
    <w:rsid w:val="00682003"/>
    <w:rsid w:val="006849DF"/>
    <w:rsid w:val="006868BF"/>
    <w:rsid w:val="00686C6D"/>
    <w:rsid w:val="00695F79"/>
    <w:rsid w:val="006B63DD"/>
    <w:rsid w:val="006C1697"/>
    <w:rsid w:val="006D6FF3"/>
    <w:rsid w:val="006D7008"/>
    <w:rsid w:val="006F2221"/>
    <w:rsid w:val="00717263"/>
    <w:rsid w:val="0072444F"/>
    <w:rsid w:val="0072756D"/>
    <w:rsid w:val="00740E41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F7CD5"/>
    <w:rsid w:val="00804813"/>
    <w:rsid w:val="008071AF"/>
    <w:rsid w:val="00813D06"/>
    <w:rsid w:val="00822110"/>
    <w:rsid w:val="00825E04"/>
    <w:rsid w:val="00830C51"/>
    <w:rsid w:val="008320CD"/>
    <w:rsid w:val="008320EF"/>
    <w:rsid w:val="00837003"/>
    <w:rsid w:val="00844130"/>
    <w:rsid w:val="00852039"/>
    <w:rsid w:val="0085648A"/>
    <w:rsid w:val="00857922"/>
    <w:rsid w:val="008628FB"/>
    <w:rsid w:val="00874C69"/>
    <w:rsid w:val="00887EB4"/>
    <w:rsid w:val="00894B00"/>
    <w:rsid w:val="00895277"/>
    <w:rsid w:val="0089766E"/>
    <w:rsid w:val="008A0D47"/>
    <w:rsid w:val="008A356A"/>
    <w:rsid w:val="008A6EA6"/>
    <w:rsid w:val="008B2E54"/>
    <w:rsid w:val="008B6B3A"/>
    <w:rsid w:val="008C2D12"/>
    <w:rsid w:val="008D1EF7"/>
    <w:rsid w:val="008D6755"/>
    <w:rsid w:val="008D6E2F"/>
    <w:rsid w:val="008E11E1"/>
    <w:rsid w:val="008F795A"/>
    <w:rsid w:val="009047E7"/>
    <w:rsid w:val="00911D79"/>
    <w:rsid w:val="009160AC"/>
    <w:rsid w:val="00933230"/>
    <w:rsid w:val="00935333"/>
    <w:rsid w:val="00936F48"/>
    <w:rsid w:val="00940AAC"/>
    <w:rsid w:val="0094197B"/>
    <w:rsid w:val="00941A67"/>
    <w:rsid w:val="00945175"/>
    <w:rsid w:val="00950881"/>
    <w:rsid w:val="00956BF6"/>
    <w:rsid w:val="00957364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7684"/>
    <w:rsid w:val="009B6EFA"/>
    <w:rsid w:val="009B75D5"/>
    <w:rsid w:val="009D1535"/>
    <w:rsid w:val="009E7D4D"/>
    <w:rsid w:val="00A07BD3"/>
    <w:rsid w:val="00A150BA"/>
    <w:rsid w:val="00A22FDE"/>
    <w:rsid w:val="00A30B64"/>
    <w:rsid w:val="00A34F4B"/>
    <w:rsid w:val="00A50C8B"/>
    <w:rsid w:val="00A565B7"/>
    <w:rsid w:val="00A56A40"/>
    <w:rsid w:val="00A87C7E"/>
    <w:rsid w:val="00A95698"/>
    <w:rsid w:val="00AA36E1"/>
    <w:rsid w:val="00AC37E5"/>
    <w:rsid w:val="00AD3A1D"/>
    <w:rsid w:val="00AD3B8D"/>
    <w:rsid w:val="00AD4DC5"/>
    <w:rsid w:val="00AD510B"/>
    <w:rsid w:val="00AE20CC"/>
    <w:rsid w:val="00AF1D61"/>
    <w:rsid w:val="00AF50F6"/>
    <w:rsid w:val="00AF5CA4"/>
    <w:rsid w:val="00B2403D"/>
    <w:rsid w:val="00B31E51"/>
    <w:rsid w:val="00B41FAC"/>
    <w:rsid w:val="00B501B1"/>
    <w:rsid w:val="00B5278F"/>
    <w:rsid w:val="00B528BB"/>
    <w:rsid w:val="00B54B40"/>
    <w:rsid w:val="00B55994"/>
    <w:rsid w:val="00B66058"/>
    <w:rsid w:val="00B72CE4"/>
    <w:rsid w:val="00BA3854"/>
    <w:rsid w:val="00BA633B"/>
    <w:rsid w:val="00BB2C01"/>
    <w:rsid w:val="00BC0A85"/>
    <w:rsid w:val="00BC5886"/>
    <w:rsid w:val="00BC6A5B"/>
    <w:rsid w:val="00BC78CB"/>
    <w:rsid w:val="00BD6752"/>
    <w:rsid w:val="00BF20A3"/>
    <w:rsid w:val="00BF5DBC"/>
    <w:rsid w:val="00C05977"/>
    <w:rsid w:val="00C208B4"/>
    <w:rsid w:val="00C34BFA"/>
    <w:rsid w:val="00C43370"/>
    <w:rsid w:val="00C46A50"/>
    <w:rsid w:val="00C51A85"/>
    <w:rsid w:val="00C53601"/>
    <w:rsid w:val="00C61114"/>
    <w:rsid w:val="00C62932"/>
    <w:rsid w:val="00C644EC"/>
    <w:rsid w:val="00C76137"/>
    <w:rsid w:val="00C76AC5"/>
    <w:rsid w:val="00C80E2A"/>
    <w:rsid w:val="00C849AA"/>
    <w:rsid w:val="00C91FEA"/>
    <w:rsid w:val="00C96211"/>
    <w:rsid w:val="00CA153C"/>
    <w:rsid w:val="00CA2548"/>
    <w:rsid w:val="00CB01F9"/>
    <w:rsid w:val="00CB6E44"/>
    <w:rsid w:val="00CD24CB"/>
    <w:rsid w:val="00CD3801"/>
    <w:rsid w:val="00CD4886"/>
    <w:rsid w:val="00CF585F"/>
    <w:rsid w:val="00D076FB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9102B"/>
    <w:rsid w:val="00D93E0C"/>
    <w:rsid w:val="00D96AFD"/>
    <w:rsid w:val="00D96D9F"/>
    <w:rsid w:val="00DA463D"/>
    <w:rsid w:val="00DB2FC4"/>
    <w:rsid w:val="00DB5138"/>
    <w:rsid w:val="00DB51BF"/>
    <w:rsid w:val="00DB6749"/>
    <w:rsid w:val="00DC103F"/>
    <w:rsid w:val="00DC7148"/>
    <w:rsid w:val="00DD20A6"/>
    <w:rsid w:val="00DD4DD6"/>
    <w:rsid w:val="00DE6777"/>
    <w:rsid w:val="00E00E02"/>
    <w:rsid w:val="00E17AEC"/>
    <w:rsid w:val="00E21148"/>
    <w:rsid w:val="00E308C8"/>
    <w:rsid w:val="00E310E7"/>
    <w:rsid w:val="00E313CC"/>
    <w:rsid w:val="00E33027"/>
    <w:rsid w:val="00E4164D"/>
    <w:rsid w:val="00E439C5"/>
    <w:rsid w:val="00E47830"/>
    <w:rsid w:val="00E50FA4"/>
    <w:rsid w:val="00E6233C"/>
    <w:rsid w:val="00E706BD"/>
    <w:rsid w:val="00E724B7"/>
    <w:rsid w:val="00E73E6F"/>
    <w:rsid w:val="00E751F6"/>
    <w:rsid w:val="00E850AF"/>
    <w:rsid w:val="00E92465"/>
    <w:rsid w:val="00EA229F"/>
    <w:rsid w:val="00EA31F8"/>
    <w:rsid w:val="00EB0443"/>
    <w:rsid w:val="00EC134B"/>
    <w:rsid w:val="00EC1712"/>
    <w:rsid w:val="00ED0EAA"/>
    <w:rsid w:val="00ED1914"/>
    <w:rsid w:val="00ED620F"/>
    <w:rsid w:val="00EE2611"/>
    <w:rsid w:val="00EE7E07"/>
    <w:rsid w:val="00EE7FF9"/>
    <w:rsid w:val="00EF7CCD"/>
    <w:rsid w:val="00F152D7"/>
    <w:rsid w:val="00F25129"/>
    <w:rsid w:val="00F37920"/>
    <w:rsid w:val="00F40B88"/>
    <w:rsid w:val="00F52507"/>
    <w:rsid w:val="00F5325A"/>
    <w:rsid w:val="00F646F8"/>
    <w:rsid w:val="00F7679D"/>
    <w:rsid w:val="00F76B35"/>
    <w:rsid w:val="00F77E6B"/>
    <w:rsid w:val="00F82FE6"/>
    <w:rsid w:val="00F91830"/>
    <w:rsid w:val="00F91947"/>
    <w:rsid w:val="00F924CC"/>
    <w:rsid w:val="00F93CCC"/>
    <w:rsid w:val="00F950EF"/>
    <w:rsid w:val="00F967B8"/>
    <w:rsid w:val="00FA6638"/>
    <w:rsid w:val="00FB348D"/>
    <w:rsid w:val="00FC0537"/>
    <w:rsid w:val="00FC32A7"/>
    <w:rsid w:val="00FD0D88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61088408253084"/>
          <c:y val="0.15003030026652073"/>
          <c:w val="0.67320261437910989"/>
          <c:h val="0.728310269891613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107</c:v>
                </c:pt>
                <c:pt idx="1">
                  <c:v>434</c:v>
                </c:pt>
                <c:pt idx="2">
                  <c:v>103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2</c:v>
                </c:pt>
                <c:pt idx="1">
                  <c:v>238</c:v>
                </c:pt>
                <c:pt idx="2">
                  <c:v>720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7343360"/>
        <c:axId val="227607296"/>
      </c:barChart>
      <c:catAx>
        <c:axId val="22734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607296"/>
        <c:crosses val="autoZero"/>
        <c:auto val="1"/>
        <c:lblAlgn val="ctr"/>
        <c:lblOffset val="100"/>
        <c:tickMarkSkip val="1"/>
        <c:noMultiLvlLbl val="0"/>
      </c:catAx>
      <c:valAx>
        <c:axId val="227607296"/>
        <c:scaling>
          <c:orientation val="minMax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227343360"/>
        <c:crosses val="autoZero"/>
        <c:crossBetween val="between"/>
        <c:majorUnit val="20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205</c:v>
                </c:pt>
                <c:pt idx="1">
                  <c:v>377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numFmt formatCode="#,##0" sourceLinked="0"/>
              <c:spPr>
                <a:noFill/>
                <a:ln w="2545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26</c:v>
                </c:pt>
                <c:pt idx="1">
                  <c:v>167</c:v>
                </c:pt>
                <c:pt idx="2">
                  <c:v>490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7616640"/>
        <c:axId val="227618176"/>
      </c:barChart>
      <c:catAx>
        <c:axId val="227616640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227618176"/>
        <c:crosses val="autoZero"/>
        <c:auto val="1"/>
        <c:lblAlgn val="ctr"/>
        <c:lblOffset val="100"/>
        <c:tickMarkSkip val="1"/>
        <c:noMultiLvlLbl val="0"/>
      </c:catAx>
      <c:valAx>
        <c:axId val="227618176"/>
        <c:scaling>
          <c:orientation val="maxMin"/>
          <c:max val="8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/>
              </a:defRPr>
            </a:pPr>
            <a:endParaRPr lang="ru-RU"/>
          </a:p>
        </c:txPr>
        <c:crossAx val="227616640"/>
        <c:crosses val="autoZero"/>
        <c:crossBetween val="between"/>
        <c:majorUnit val="2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67264573992"/>
          <c:y val="4.1379310344827586E-2"/>
          <c:w val="0.75560538116591924"/>
          <c:h val="0.6682117289234698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521595724341345E-3"/>
                  <c:y val="-1.29979919160252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32</c:v>
                </c:pt>
                <c:pt idx="1">
                  <c:v>253</c:v>
                </c:pt>
                <c:pt idx="2">
                  <c:v>589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25303">
              <a:noFill/>
            </a:ln>
          </c:spPr>
          <c:invertIfNegative val="0"/>
          <c:dLbls>
            <c:dLbl>
              <c:idx val="0"/>
              <c:layout>
                <c:manualLayout>
                  <c:x val="2.9351458984364616E-3"/>
                  <c:y val="-1.5866445341553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127</c:v>
                </c:pt>
                <c:pt idx="1">
                  <c:v>278</c:v>
                </c:pt>
                <c:pt idx="2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227833728"/>
        <c:axId val="227835264"/>
      </c:barChart>
      <c:catAx>
        <c:axId val="22783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Times New Roman"/>
              </a:defRPr>
            </a:pPr>
            <a:endParaRPr lang="ru-RU"/>
          </a:p>
        </c:txPr>
        <c:crossAx val="227835264"/>
        <c:crossesAt val="0"/>
        <c:auto val="0"/>
        <c:lblAlgn val="ctr"/>
        <c:lblOffset val="0"/>
        <c:tickLblSkip val="1"/>
        <c:tickMarkSkip val="1"/>
        <c:noMultiLvlLbl val="0"/>
      </c:catAx>
      <c:valAx>
        <c:axId val="227835264"/>
        <c:scaling>
          <c:orientation val="minMax"/>
          <c:max val="8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Times New Roman"/>
              </a:defRPr>
            </a:pPr>
            <a:endParaRPr lang="ru-RU"/>
          </a:p>
        </c:txPr>
        <c:crossAx val="227833728"/>
        <c:crosses val="autoZero"/>
        <c:crossBetween val="between"/>
        <c:majorUnit val="200"/>
        <c:minorUnit val="6"/>
      </c:valAx>
    </c:plotArea>
    <c:legend>
      <c:legendPos val="b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19283025419667374"/>
          <c:y val="0.82881123436213389"/>
          <c:w val="0.69506160136971573"/>
          <c:h val="0.1517241379310377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069780250113272E-3"/>
                  <c:y val="-1.844726057313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536688734972247E-2"/>
                  <c:y val="1.6119106661636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28.4</c:v>
                </c:pt>
                <c:pt idx="1">
                  <c:v>24.6</c:v>
                </c:pt>
                <c:pt idx="2">
                  <c:v>18.3</c:v>
                </c:pt>
                <c:pt idx="3">
                  <c:v>14.9</c:v>
                </c:pt>
                <c:pt idx="4">
                  <c:v>10</c:v>
                </c:pt>
                <c:pt idx="5">
                  <c:v>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Трудоустройство</c:v>
                </c:pt>
                <c:pt idx="1">
                  <c:v>Посещение родных и близких</c:v>
                </c:pt>
                <c:pt idx="2">
                  <c:v>Шоп-тур</c:v>
                </c:pt>
                <c:pt idx="3">
                  <c:v>Служебная, деловая</c:v>
                </c:pt>
                <c:pt idx="4">
                  <c:v>Отдых, лечение, экскурсия, паломничество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153313115856052"/>
          <c:w val="0.90224270958898245"/>
          <c:h val="0.27495005405270101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86069635900808"/>
          <c:y val="5.8548817944751669E-2"/>
          <c:w val="0.57081392424006039"/>
          <c:h val="0.5694323657304031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595582604874926E-2"/>
                  <c:y val="-5.7742478076221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262558466079702E-3"/>
                  <c:y val="2.3099139634572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205849530289596E-2"/>
                  <c:y val="6.99870682330720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5715363723489271E-3"/>
                  <c:y val="9.836710603974032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55.7</c:v>
                </c:pt>
                <c:pt idx="1">
                  <c:v>16.2</c:v>
                </c:pt>
                <c:pt idx="2">
                  <c:v>9.3000000000000007</c:v>
                </c:pt>
                <c:pt idx="3">
                  <c:v>9.3000000000000007</c:v>
                </c:pt>
                <c:pt idx="4">
                  <c:v>8.1</c:v>
                </c:pt>
                <c:pt idx="5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69435836882133262"/>
          <c:w val="0.87439841070873658"/>
          <c:h val="0.25861572408554317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8AA7-D1D5-4146-94CB-62B1C88F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User303-2</cp:lastModifiedBy>
  <cp:revision>3</cp:revision>
  <cp:lastPrinted>2022-06-23T11:27:00Z</cp:lastPrinted>
  <dcterms:created xsi:type="dcterms:W3CDTF">2022-06-24T13:17:00Z</dcterms:created>
  <dcterms:modified xsi:type="dcterms:W3CDTF">2022-06-24T14:21:00Z</dcterms:modified>
</cp:coreProperties>
</file>