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Default="00BD2AC0" w:rsidP="007E7B5B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9C5FC9">
        <w:rPr>
          <w:rFonts w:ascii="Arial" w:hAnsi="Arial" w:cs="Arial"/>
          <w:b/>
          <w:bCs/>
          <w:sz w:val="26"/>
          <w:szCs w:val="26"/>
        </w:rPr>
        <w:t>4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C52299" w:rsidRPr="00971749" w:rsidRDefault="00C52299" w:rsidP="00C52299">
      <w:pPr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9C5FC9">
        <w:rPr>
          <w:rFonts w:ascii="Arial" w:hAnsi="Arial" w:cs="Arial"/>
          <w:b/>
          <w:bCs/>
          <w:sz w:val="26"/>
          <w:szCs w:val="26"/>
        </w:rPr>
        <w:t>4</w:t>
      </w:r>
      <w:r>
        <w:rPr>
          <w:rFonts w:ascii="Arial" w:hAnsi="Arial" w:cs="Arial"/>
          <w:b/>
          <w:bCs/>
          <w:sz w:val="26"/>
          <w:szCs w:val="26"/>
        </w:rPr>
        <w:t>.1. Денежные доходы населения</w:t>
      </w:r>
    </w:p>
    <w:p w:rsidR="00C52299" w:rsidRPr="0022599D" w:rsidRDefault="00C52299" w:rsidP="00C52299">
      <w:pPr>
        <w:pStyle w:val="21"/>
        <w:spacing w:line="350" w:lineRule="exact"/>
        <w:ind w:right="0"/>
      </w:pPr>
      <w:r w:rsidRPr="0022599D">
        <w:t xml:space="preserve">В </w:t>
      </w:r>
      <w:r>
        <w:t>январе</w:t>
      </w:r>
      <w:r w:rsidR="00864ED0">
        <w:t>-</w:t>
      </w:r>
      <w:r w:rsidR="00C526A2">
        <w:t>апреле</w:t>
      </w:r>
      <w:r>
        <w:t xml:space="preserve"> 2020 г.</w:t>
      </w:r>
      <w:r w:rsidRPr="0022599D">
        <w:t xml:space="preserve"> общий объем денежных доходов населения составил </w:t>
      </w:r>
      <w:r w:rsidR="00032650">
        <w:t>28,6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январем</w:t>
      </w:r>
      <w:r w:rsidR="00864ED0">
        <w:t>-</w:t>
      </w:r>
      <w:r w:rsidR="00032650">
        <w:t>апрелем</w:t>
      </w:r>
      <w:r>
        <w:t xml:space="preserve"> 2019 г.</w:t>
      </w:r>
      <w:r w:rsidRPr="0022599D">
        <w:t xml:space="preserve"> увеличился на </w:t>
      </w:r>
      <w:r w:rsidR="00032650">
        <w:t>10,9</w:t>
      </w:r>
      <w:r>
        <w:t xml:space="preserve">% </w:t>
      </w:r>
      <w:r w:rsidRPr="0022599D">
        <w:t xml:space="preserve">при росте потребительских цен на товары и услуги за этот период на </w:t>
      </w:r>
      <w:r>
        <w:t>4,</w:t>
      </w:r>
      <w:r w:rsidR="00032650">
        <w:t>8</w:t>
      </w:r>
      <w:r w:rsidRPr="0022599D">
        <w:t>%.</w:t>
      </w:r>
    </w:p>
    <w:p w:rsidR="00C52299" w:rsidRPr="0022599D" w:rsidRDefault="00C52299" w:rsidP="00C52299">
      <w:pPr>
        <w:pStyle w:val="21"/>
        <w:spacing w:before="0" w:line="35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B2424A">
        <w:t xml:space="preserve"> январе</w:t>
      </w:r>
      <w:r w:rsidR="00864ED0">
        <w:t>-</w:t>
      </w:r>
      <w:r w:rsidR="00032650">
        <w:t>апреле</w:t>
      </w:r>
      <w:r w:rsidR="00864ED0">
        <w:t xml:space="preserve"> </w:t>
      </w:r>
      <w:r>
        <w:t>20</w:t>
      </w:r>
      <w:r w:rsidR="00B2424A">
        <w:t>20</w:t>
      </w:r>
      <w:r>
        <w:rPr>
          <w:lang w:val="en-US"/>
        </w:rPr>
        <w:t> </w:t>
      </w:r>
      <w:r w:rsidRPr="0022599D">
        <w:t>г</w:t>
      </w:r>
      <w:r>
        <w:t>. составили 10</w:t>
      </w:r>
      <w:r w:rsidR="00032650">
        <w:t>5,7</w:t>
      </w:r>
      <w:r w:rsidRPr="0022599D">
        <w:t xml:space="preserve">% к уровню </w:t>
      </w:r>
      <w:r>
        <w:t>января</w:t>
      </w:r>
      <w:r w:rsidR="00EB78C5">
        <w:t>-</w:t>
      </w:r>
      <w:r w:rsidR="00032650">
        <w:t>апреля</w:t>
      </w:r>
      <w:r>
        <w:t xml:space="preserve"> 201</w:t>
      </w:r>
      <w:r w:rsidR="00B2424A">
        <w:t>9</w:t>
      </w:r>
      <w:r>
        <w:t xml:space="preserve"> г.</w:t>
      </w:r>
    </w:p>
    <w:p w:rsidR="00C52299" w:rsidRPr="005C0F0D" w:rsidRDefault="00C52299" w:rsidP="00C52299">
      <w:pPr>
        <w:pStyle w:val="a6"/>
        <w:tabs>
          <w:tab w:val="clear" w:pos="4536"/>
          <w:tab w:val="clear" w:pos="9072"/>
        </w:tabs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C52299" w:rsidRDefault="00C52299" w:rsidP="00C52299">
      <w:pPr>
        <w:pStyle w:val="a6"/>
        <w:tabs>
          <w:tab w:val="clear" w:pos="4536"/>
          <w:tab w:val="clear" w:pos="9072"/>
          <w:tab w:val="left" w:pos="1918"/>
        </w:tabs>
        <w:spacing w:before="80" w:after="120"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C52299" w:rsidRDefault="00C52299" w:rsidP="00C52299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931673" cy="2130949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52299" w:rsidRPr="00FE3462" w:rsidRDefault="00C52299" w:rsidP="00C52299">
      <w:pPr>
        <w:pStyle w:val="21"/>
        <w:spacing w:line="35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январе</w:t>
      </w:r>
      <w:r w:rsidR="007D7793">
        <w:t>-</w:t>
      </w:r>
      <w:r w:rsidR="00032650">
        <w:t>апреле</w:t>
      </w:r>
      <w:r>
        <w:t xml:space="preserve"> 20</w:t>
      </w:r>
      <w:r w:rsidR="00CF1AEB">
        <w:t>20</w:t>
      </w:r>
      <w:r>
        <w:t xml:space="preserve"> г.</w:t>
      </w:r>
      <w:r w:rsidRPr="00963B0C">
        <w:t xml:space="preserve"> составил </w:t>
      </w:r>
      <w:r>
        <w:t>87,</w:t>
      </w:r>
      <w:r w:rsidR="00460ABD">
        <w:t>6</w:t>
      </w:r>
      <w:r w:rsidRPr="00963B0C">
        <w:t>%.</w:t>
      </w:r>
    </w:p>
    <w:p w:rsidR="00C52299" w:rsidRPr="00144799" w:rsidRDefault="00C52299" w:rsidP="00C52299">
      <w:pPr>
        <w:spacing w:before="120" w:after="120" w:line="26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C52299" w:rsidRPr="00066A53" w:rsidTr="00C52299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F1AEB" w:rsidP="00460ABD">
            <w:pPr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60ABD">
              <w:rPr>
                <w:sz w:val="22"/>
              </w:rPr>
              <w:t>апрель</w:t>
            </w:r>
            <w:r w:rsidR="0027091E">
              <w:rPr>
                <w:sz w:val="22"/>
              </w:rPr>
              <w:br/>
            </w:r>
            <w:r w:rsidR="00C52299" w:rsidRPr="00E618D2">
              <w:rPr>
                <w:sz w:val="22"/>
              </w:rPr>
              <w:t>20</w:t>
            </w:r>
            <w:r>
              <w:rPr>
                <w:sz w:val="22"/>
              </w:rPr>
              <w:t>20</w:t>
            </w:r>
            <w:r w:rsidR="00C52299"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460ABD">
            <w:pPr>
              <w:spacing w:before="100" w:after="100" w:line="22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</w:rPr>
              <w:t>январь</w:t>
            </w:r>
            <w:r w:rsidR="00AD7151">
              <w:rPr>
                <w:sz w:val="22"/>
              </w:rPr>
              <w:t>-</w:t>
            </w:r>
            <w:r w:rsidR="00460ABD">
              <w:rPr>
                <w:sz w:val="22"/>
              </w:rPr>
              <w:t>апрель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201</w:t>
            </w:r>
            <w:r w:rsidR="00CF1AEB"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C52299" w:rsidRPr="00066A53" w:rsidTr="00C52299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100" w:after="100" w:line="22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E618D2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299" w:rsidRPr="000609F1" w:rsidRDefault="00C52299" w:rsidP="00C52299">
            <w:pPr>
              <w:tabs>
                <w:tab w:val="left" w:pos="1064"/>
              </w:tabs>
              <w:spacing w:before="100" w:after="100" w:line="220" w:lineRule="exact"/>
              <w:jc w:val="center"/>
              <w:rPr>
                <w:spacing w:val="-2"/>
                <w:sz w:val="22"/>
              </w:rPr>
            </w:pPr>
            <w:proofErr w:type="gramStart"/>
            <w:r w:rsidRPr="000609F1">
              <w:rPr>
                <w:spacing w:val="-2"/>
                <w:sz w:val="22"/>
              </w:rPr>
              <w:t>в</w:t>
            </w:r>
            <w:proofErr w:type="gramEnd"/>
            <w:r w:rsidRPr="000609F1">
              <w:rPr>
                <w:spacing w:val="-2"/>
                <w:sz w:val="22"/>
              </w:rPr>
              <w:t xml:space="preserve"> % к итогу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460ABD" w:rsidP="00460ABD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</w:t>
            </w:r>
            <w:r w:rsidR="00CF1AEB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644</w:t>
            </w:r>
            <w:r w:rsidR="00CF1AEB">
              <w:rPr>
                <w:b/>
                <w:sz w:val="22"/>
                <w:szCs w:val="22"/>
              </w:rPr>
              <w:t>,</w:t>
            </w:r>
            <w:r w:rsidR="0027091E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8D15D1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27091E" w:rsidRDefault="00460ABD" w:rsidP="00460ABD">
            <w:pPr>
              <w:spacing w:before="80" w:after="80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25 818,6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E4528" w:rsidRDefault="00C52299" w:rsidP="008D15D1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E4528">
              <w:rPr>
                <w:b/>
                <w:sz w:val="22"/>
                <w:szCs w:val="22"/>
              </w:rPr>
              <w:t>100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6853D8" w:rsidRDefault="00C52299" w:rsidP="008D15D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7024B" w:rsidRDefault="00C52299" w:rsidP="008D15D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60ABD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7091E" w:rsidRPr="00295CB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313,2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60ABD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16 498,8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tabs>
                <w:tab w:val="left" w:pos="614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63,9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предпринимательской и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60ABD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2 149,9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60AB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7,</w:t>
            </w:r>
            <w:r w:rsidR="00460ABD">
              <w:rPr>
                <w:sz w:val="22"/>
                <w:szCs w:val="22"/>
              </w:rPr>
              <w:t>5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2 008,4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F1AEB" w:rsidP="00460AB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460ABD">
              <w:rPr>
                <w:sz w:val="22"/>
                <w:szCs w:val="22"/>
              </w:rPr>
              <w:t>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60ABD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6 782,4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23,7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460ABD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6 147,5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460AB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60ABD">
              <w:rPr>
                <w:sz w:val="22"/>
                <w:szCs w:val="22"/>
              </w:rPr>
              <w:t>3,8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собственности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665,7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460AB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583,5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52299" w:rsidRPr="008E113D" w:rsidRDefault="0027091E" w:rsidP="008D15D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3</w:t>
            </w:r>
          </w:p>
        </w:tc>
      </w:tr>
      <w:tr w:rsidR="00C52299" w:rsidRPr="00066A53" w:rsidTr="008D15D1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E618D2" w:rsidRDefault="00C52299" w:rsidP="00C52299">
            <w:pPr>
              <w:tabs>
                <w:tab w:val="left" w:pos="3969"/>
                <w:tab w:val="left" w:pos="5954"/>
              </w:tabs>
              <w:spacing w:before="80" w:after="80" w:line="22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460ABD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8E113D" w:rsidRDefault="00C52299" w:rsidP="008D15D1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8E113D">
              <w:rPr>
                <w:sz w:val="22"/>
                <w:szCs w:val="22"/>
              </w:rPr>
              <w:t>2,</w:t>
            </w:r>
            <w:r w:rsidR="00193D5A">
              <w:rPr>
                <w:sz w:val="22"/>
                <w:szCs w:val="22"/>
              </w:rPr>
              <w:t>6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460ABD" w:rsidP="008D15D1">
            <w:pPr>
              <w:spacing w:before="80" w:after="8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580,4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52299" w:rsidRPr="00C60724" w:rsidRDefault="0027091E" w:rsidP="00460ABD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01164">
              <w:rPr>
                <w:sz w:val="22"/>
                <w:szCs w:val="22"/>
              </w:rPr>
              <w:t>2,</w:t>
            </w:r>
            <w:r w:rsidR="00460ABD">
              <w:rPr>
                <w:sz w:val="22"/>
                <w:szCs w:val="22"/>
              </w:rPr>
              <w:t>2</w:t>
            </w:r>
          </w:p>
        </w:tc>
      </w:tr>
    </w:tbl>
    <w:p w:rsidR="00D50887" w:rsidRDefault="00D50887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p w:rsidR="009C3774" w:rsidRPr="00AB5463" w:rsidRDefault="009C3774" w:rsidP="00B9439E">
      <w:pPr>
        <w:widowControl w:val="0"/>
        <w:tabs>
          <w:tab w:val="left" w:pos="3969"/>
          <w:tab w:val="left" w:pos="5954"/>
        </w:tabs>
        <w:spacing w:before="120" w:after="120" w:line="260" w:lineRule="exact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lastRenderedPageBreak/>
        <w:t>1</w:t>
      </w:r>
      <w:r w:rsidR="009C5FC9">
        <w:rPr>
          <w:rFonts w:ascii="Arial" w:hAnsi="Arial" w:cs="Arial"/>
          <w:b/>
          <w:bCs/>
          <w:sz w:val="26"/>
        </w:rPr>
        <w:t>4</w:t>
      </w:r>
      <w:r w:rsidRPr="00AB5463">
        <w:rPr>
          <w:rFonts w:ascii="Arial" w:hAnsi="Arial" w:cs="Arial"/>
          <w:b/>
          <w:bCs/>
          <w:sz w:val="26"/>
        </w:rPr>
        <w:t>.</w:t>
      </w:r>
      <w:r>
        <w:rPr>
          <w:rFonts w:ascii="Arial" w:hAnsi="Arial" w:cs="Arial"/>
          <w:b/>
          <w:bCs/>
          <w:sz w:val="26"/>
        </w:rPr>
        <w:t>2.</w:t>
      </w:r>
      <w:r w:rsidRPr="00AB5463">
        <w:rPr>
          <w:rFonts w:ascii="Arial" w:hAnsi="Arial" w:cs="Arial"/>
          <w:b/>
          <w:bCs/>
          <w:sz w:val="26"/>
        </w:rPr>
        <w:t xml:space="preserve"> Уровень </w:t>
      </w:r>
      <w:proofErr w:type="spellStart"/>
      <w:r w:rsidRPr="00AB5463">
        <w:rPr>
          <w:rFonts w:ascii="Arial" w:hAnsi="Arial" w:cs="Arial"/>
          <w:b/>
          <w:bCs/>
          <w:sz w:val="26"/>
        </w:rPr>
        <w:t>малообеспеченности</w:t>
      </w:r>
      <w:proofErr w:type="spellEnd"/>
    </w:p>
    <w:p w:rsidR="009C3774" w:rsidRDefault="009C3774" w:rsidP="009C3774">
      <w:pPr>
        <w:pStyle w:val="21"/>
        <w:spacing w:before="0" w:line="340" w:lineRule="exact"/>
        <w:ind w:right="0"/>
      </w:pPr>
      <w:r>
        <w:t xml:space="preserve">По данным выборочного обследования домашних хозяйств по уровню жизни, в </w:t>
      </w:r>
      <w:r>
        <w:rPr>
          <w:lang w:val="en-US"/>
        </w:rPr>
        <w:t>I</w:t>
      </w:r>
      <w:r w:rsidRPr="00940537">
        <w:t xml:space="preserve"> </w:t>
      </w:r>
      <w:r>
        <w:t>квартале 20</w:t>
      </w:r>
      <w:r w:rsidRPr="00A041C1">
        <w:t>20</w:t>
      </w:r>
      <w:r>
        <w:t xml:space="preserve"> г. уровень </w:t>
      </w:r>
      <w:proofErr w:type="spellStart"/>
      <w:r>
        <w:t>малообеспеченности</w:t>
      </w:r>
      <w:proofErr w:type="spellEnd"/>
      <w:r>
        <w:t xml:space="preserve">, или удельный вес населения с уровнем среднедушевых располагаемых ресурсов ниже бюджета прожиточного минимума (национальной черты </w:t>
      </w:r>
      <w:proofErr w:type="spellStart"/>
      <w:r>
        <w:t>малообеспеченности</w:t>
      </w:r>
      <w:proofErr w:type="spellEnd"/>
      <w:r>
        <w:t>)</w:t>
      </w:r>
      <w:r w:rsidRPr="00B602EA">
        <w:t>,</w:t>
      </w:r>
      <w:r w:rsidRPr="004C7D95">
        <w:t xml:space="preserve"> </w:t>
      </w:r>
      <w:r>
        <w:br/>
      </w:r>
      <w:r w:rsidRPr="000317FD">
        <w:t xml:space="preserve">составил </w:t>
      </w:r>
      <w:r w:rsidRPr="00EA15E6">
        <w:t>4</w:t>
      </w:r>
      <w:r w:rsidRPr="000317FD">
        <w:t>,</w:t>
      </w:r>
      <w:r w:rsidRPr="00EA15E6">
        <w:t>7</w:t>
      </w:r>
      <w:r w:rsidRPr="000317FD">
        <w:t xml:space="preserve">% (в </w:t>
      </w:r>
      <w:r w:rsidRPr="000317FD">
        <w:rPr>
          <w:lang w:val="en-US"/>
        </w:rPr>
        <w:t>I</w:t>
      </w:r>
      <w:r w:rsidRPr="000317FD">
        <w:t xml:space="preserve"> квартале 201</w:t>
      </w:r>
      <w:r w:rsidRPr="00A041C1">
        <w:t>9</w:t>
      </w:r>
      <w:r w:rsidRPr="000317FD">
        <w:t> г. – 5,</w:t>
      </w:r>
      <w:r w:rsidRPr="00A041C1">
        <w:t>3</w:t>
      </w:r>
      <w:r w:rsidRPr="000317FD">
        <w:t>%).</w:t>
      </w:r>
    </w:p>
    <w:p w:rsidR="009C3774" w:rsidRPr="00A35B9B" w:rsidRDefault="009C3774" w:rsidP="009C3774">
      <w:pPr>
        <w:pStyle w:val="30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144799">
        <w:rPr>
          <w:rFonts w:ascii="Arial" w:hAnsi="Arial" w:cs="Arial"/>
          <w:b/>
          <w:sz w:val="22"/>
          <w:szCs w:val="22"/>
        </w:rPr>
        <w:t xml:space="preserve">Распределение населения по соотношению среднедушевых </w:t>
      </w:r>
      <w:r>
        <w:rPr>
          <w:rFonts w:ascii="Arial" w:hAnsi="Arial" w:cs="Arial"/>
          <w:b/>
          <w:sz w:val="22"/>
          <w:szCs w:val="22"/>
        </w:rPr>
        <w:br/>
      </w:r>
      <w:r w:rsidRPr="00144799">
        <w:rPr>
          <w:rFonts w:ascii="Arial" w:hAnsi="Arial" w:cs="Arial"/>
          <w:b/>
          <w:sz w:val="22"/>
          <w:szCs w:val="22"/>
        </w:rPr>
        <w:t>располагаемых ресурсов с бюджетом прожиточного минимума</w:t>
      </w:r>
      <w:proofErr w:type="gramStart"/>
      <w:r>
        <w:rPr>
          <w:rFonts w:ascii="Arial" w:hAnsi="Arial" w:cs="Arial"/>
          <w:b/>
          <w:sz w:val="22"/>
          <w:szCs w:val="22"/>
          <w:vertAlign w:val="superscript"/>
        </w:rPr>
        <w:t>1</w:t>
      </w:r>
      <w:proofErr w:type="gramEnd"/>
      <w:r>
        <w:rPr>
          <w:rFonts w:ascii="Arial" w:hAnsi="Arial" w:cs="Arial"/>
          <w:b/>
          <w:sz w:val="22"/>
          <w:szCs w:val="22"/>
          <w:vertAlign w:val="superscript"/>
        </w:rPr>
        <w:t>)</w:t>
      </w:r>
    </w:p>
    <w:p w:rsidR="009C3774" w:rsidRPr="009047B6" w:rsidRDefault="009C3774" w:rsidP="009C3774">
      <w:pPr>
        <w:pStyle w:val="a3"/>
        <w:spacing w:after="120" w:line="220" w:lineRule="exact"/>
        <w:ind w:left="0" w:firstLine="0"/>
        <w:rPr>
          <w:rFonts w:cs="Arial"/>
          <w:b w:val="0"/>
          <w:i/>
          <w:sz w:val="20"/>
        </w:rPr>
      </w:pPr>
      <w:r w:rsidRPr="009047B6">
        <w:rPr>
          <w:rFonts w:cs="Arial"/>
          <w:b w:val="0"/>
          <w:i/>
          <w:sz w:val="20"/>
        </w:rPr>
        <w:t>(</w:t>
      </w:r>
      <w:proofErr w:type="gramStart"/>
      <w:r w:rsidRPr="009047B6">
        <w:rPr>
          <w:rFonts w:cs="Arial"/>
          <w:b w:val="0"/>
          <w:i/>
          <w:sz w:val="20"/>
        </w:rPr>
        <w:t>в</w:t>
      </w:r>
      <w:proofErr w:type="gramEnd"/>
      <w:r w:rsidRPr="009047B6">
        <w:rPr>
          <w:rFonts w:cs="Arial"/>
          <w:b w:val="0"/>
          <w:i/>
          <w:sz w:val="20"/>
        </w:rPr>
        <w:t xml:space="preserve"> % к итогу)</w:t>
      </w:r>
    </w:p>
    <w:tbl>
      <w:tblPr>
        <w:tblW w:w="484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515"/>
        <w:gridCol w:w="2516"/>
      </w:tblGrid>
      <w:tr w:rsidR="009C3774" w:rsidRPr="00066A53" w:rsidTr="000329CB">
        <w:trPr>
          <w:cantSplit/>
          <w:trHeight w:val="480"/>
          <w:tblHeader/>
        </w:trPr>
        <w:tc>
          <w:tcPr>
            <w:tcW w:w="2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74" w:rsidRPr="00066A53" w:rsidRDefault="009C3774" w:rsidP="000329CB">
            <w:pPr>
              <w:spacing w:before="40" w:after="40" w:line="220" w:lineRule="exact"/>
            </w:pP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774" w:rsidRPr="00902BC1" w:rsidRDefault="009C3774" w:rsidP="000329CB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 w:rsidRPr="00902BC1">
              <w:rPr>
                <w:sz w:val="22"/>
                <w:szCs w:val="22"/>
              </w:rPr>
              <w:t>I квартал 20</w:t>
            </w:r>
            <w:r>
              <w:rPr>
                <w:sz w:val="22"/>
                <w:szCs w:val="22"/>
                <w:lang w:val="en-US"/>
              </w:rPr>
              <w:t>20</w:t>
            </w:r>
            <w:r w:rsidRPr="00902BC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C3774" w:rsidRPr="00902BC1" w:rsidRDefault="009C3774" w:rsidP="000329CB">
            <w:pPr>
              <w:spacing w:before="80" w:after="8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1594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bookmarkStart w:id="1" w:name="OLE_LINK3"/>
            <w:bookmarkStart w:id="2" w:name="OLE_LINK4"/>
            <w:r w:rsidRPr="00902BC1">
              <w:rPr>
                <w:sz w:val="22"/>
                <w:szCs w:val="22"/>
              </w:rPr>
              <w:t>I квартал 201</w:t>
            </w:r>
            <w:r>
              <w:rPr>
                <w:sz w:val="22"/>
                <w:szCs w:val="22"/>
                <w:lang w:val="en-US"/>
              </w:rPr>
              <w:t>9</w:t>
            </w:r>
            <w:r w:rsidRPr="00902BC1">
              <w:rPr>
                <w:sz w:val="22"/>
                <w:szCs w:val="22"/>
              </w:rPr>
              <w:t xml:space="preserve"> г.</w:t>
            </w:r>
            <w:bookmarkEnd w:id="1"/>
            <w:bookmarkEnd w:id="2"/>
          </w:p>
        </w:tc>
      </w:tr>
      <w:tr w:rsidR="009C3774" w:rsidRPr="00066A53" w:rsidTr="000329CB">
        <w:trPr>
          <w:cantSplit/>
          <w:trHeight w:val="91"/>
        </w:trPr>
        <w:tc>
          <w:tcPr>
            <w:tcW w:w="2205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A7350B" w:rsidRDefault="009C3774" w:rsidP="000329CB">
            <w:pPr>
              <w:spacing w:before="60" w:after="60" w:line="220" w:lineRule="exac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Все население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A7350B" w:rsidRDefault="009C3774" w:rsidP="000329CB">
            <w:pPr>
              <w:spacing w:before="60" w:after="60" w:line="220" w:lineRule="exact"/>
              <w:ind w:left="-113" w:right="1021"/>
              <w:jc w:val="right"/>
              <w:rPr>
                <w:b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9C3774" w:rsidRPr="00A7350B" w:rsidRDefault="009C3774" w:rsidP="000329CB">
            <w:pPr>
              <w:pStyle w:val="a6"/>
              <w:spacing w:before="60" w:after="60" w:line="220" w:lineRule="exact"/>
              <w:ind w:left="-113" w:right="1021"/>
              <w:jc w:val="right"/>
              <w:rPr>
                <w:b/>
                <w:sz w:val="22"/>
                <w:szCs w:val="22"/>
              </w:rPr>
            </w:pPr>
            <w:r w:rsidRPr="00A7350B">
              <w:rPr>
                <w:b/>
                <w:sz w:val="22"/>
                <w:szCs w:val="22"/>
              </w:rPr>
              <w:t>100</w:t>
            </w:r>
          </w:p>
        </w:tc>
      </w:tr>
      <w:tr w:rsidR="009C3774" w:rsidRPr="00066A53" w:rsidTr="000329CB">
        <w:trPr>
          <w:cantSplit/>
          <w:trHeight w:val="20"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774" w:rsidRPr="00D952A5" w:rsidRDefault="009C3774" w:rsidP="003A0380">
            <w:pPr>
              <w:spacing w:before="60" w:after="60" w:line="220" w:lineRule="exact"/>
              <w:ind w:left="113"/>
            </w:pPr>
            <w:r w:rsidRPr="00D952A5">
              <w:rPr>
                <w:sz w:val="22"/>
                <w:szCs w:val="22"/>
              </w:rPr>
              <w:t>в том числе по соотношению среднедушевых располагаемых ресурсов с бюджетом прожиточного минимума</w:t>
            </w:r>
            <w:r w:rsidR="004B1878">
              <w:rPr>
                <w:sz w:val="22"/>
                <w:szCs w:val="22"/>
              </w:rPr>
              <w:t>, %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Default="009C3774" w:rsidP="000329CB">
            <w:pPr>
              <w:spacing w:before="60" w:after="60" w:line="220" w:lineRule="exact"/>
              <w:ind w:left="113" w:right="1021"/>
              <w:jc w:val="right"/>
            </w:pP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774" w:rsidRPr="00066A53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</w:p>
        </w:tc>
      </w:tr>
      <w:tr w:rsidR="009C3774" w:rsidRPr="00066A53" w:rsidTr="000329CB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774" w:rsidRPr="00066A53" w:rsidRDefault="009C3774" w:rsidP="000329CB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− </w:t>
            </w:r>
            <w:r>
              <w:rPr>
                <w:sz w:val="22"/>
                <w:szCs w:val="22"/>
              </w:rPr>
              <w:t>49</w:t>
            </w:r>
            <w:r w:rsidRPr="00066A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9C3774" w:rsidRPr="00066A53" w:rsidTr="000329CB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774" w:rsidRPr="00066A53" w:rsidRDefault="009C3774" w:rsidP="000329CB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50</w:t>
            </w:r>
            <w:r>
              <w:rPr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− </w:t>
            </w:r>
            <w:r>
              <w:rPr>
                <w:sz w:val="22"/>
                <w:szCs w:val="22"/>
              </w:rPr>
              <w:t>99</w:t>
            </w:r>
            <w:r w:rsidRPr="00066A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9C3774" w:rsidRPr="00066A53" w:rsidTr="000329CB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774" w:rsidRPr="00066A53" w:rsidRDefault="009C3774" w:rsidP="000329CB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100</w:t>
            </w:r>
            <w:r>
              <w:rPr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− </w:t>
            </w:r>
            <w:r>
              <w:rPr>
                <w:sz w:val="22"/>
                <w:szCs w:val="22"/>
              </w:rPr>
              <w:t>199</w:t>
            </w:r>
            <w:r w:rsidRPr="00066A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41,7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</w:tr>
      <w:tr w:rsidR="009C3774" w:rsidRPr="00066A53" w:rsidTr="000329CB">
        <w:trPr>
          <w:cantSplit/>
        </w:trPr>
        <w:tc>
          <w:tcPr>
            <w:tcW w:w="2205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9C3774" w:rsidRPr="00066A53" w:rsidRDefault="009C3774" w:rsidP="000329CB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200</w:t>
            </w:r>
            <w:r>
              <w:t> </w:t>
            </w:r>
            <w:r>
              <w:rPr>
                <w:rFonts w:ascii="Calibri" w:hAnsi="Calibri" w:cs="Calibri"/>
                <w:sz w:val="22"/>
                <w:szCs w:val="22"/>
              </w:rPr>
              <w:t>− </w:t>
            </w:r>
            <w:r>
              <w:rPr>
                <w:sz w:val="22"/>
                <w:szCs w:val="22"/>
              </w:rPr>
              <w:t>299</w:t>
            </w:r>
            <w:r w:rsidRPr="00066A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</w:tr>
      <w:tr w:rsidR="009C3774" w:rsidRPr="00066A53" w:rsidTr="000329CB">
        <w:trPr>
          <w:cantSplit/>
        </w:trPr>
        <w:tc>
          <w:tcPr>
            <w:tcW w:w="2205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3774" w:rsidRPr="00066A53" w:rsidRDefault="009C3774" w:rsidP="000329CB">
            <w:pPr>
              <w:spacing w:before="60" w:after="60" w:line="220" w:lineRule="exact"/>
              <w:ind w:left="454"/>
            </w:pPr>
            <w:r w:rsidRPr="00066A53">
              <w:rPr>
                <w:sz w:val="22"/>
                <w:szCs w:val="22"/>
              </w:rPr>
              <w:t>300</w:t>
            </w:r>
            <w:r>
              <w:rPr>
                <w:sz w:val="22"/>
                <w:szCs w:val="22"/>
              </w:rPr>
              <w:t xml:space="preserve"> и более</w:t>
            </w:r>
          </w:p>
        </w:tc>
        <w:tc>
          <w:tcPr>
            <w:tcW w:w="13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139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3774" w:rsidRPr="00C20ADA" w:rsidRDefault="009C3774" w:rsidP="000329CB">
            <w:pPr>
              <w:pStyle w:val="a6"/>
              <w:spacing w:before="60" w:after="60" w:line="220" w:lineRule="exact"/>
              <w:ind w:right="102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21,0</w:t>
            </w:r>
          </w:p>
        </w:tc>
      </w:tr>
    </w:tbl>
    <w:p w:rsidR="009C3774" w:rsidRPr="00A35B9B" w:rsidRDefault="005324A9" w:rsidP="009C3774">
      <w:pPr>
        <w:pStyle w:val="21"/>
        <w:spacing w:before="240" w:line="240" w:lineRule="exact"/>
        <w:ind w:right="0"/>
        <w:rPr>
          <w:sz w:val="20"/>
        </w:rPr>
      </w:pPr>
      <w:r>
        <w:rPr>
          <w:noProof/>
          <w:sz w:val="20"/>
          <w:szCs w:val="26"/>
        </w:rPr>
        <w:pict>
          <v:line id="_x0000_s1026" style="position:absolute;left:0;text-align:left;z-index:251658240;mso-position-horizontal-relative:text;mso-position-vertical-relative:text" from="-.9pt,7.6pt" to="147.6pt,7.6pt"/>
        </w:pict>
      </w:r>
      <w:r w:rsidR="009C3774" w:rsidRPr="00A35B9B">
        <w:rPr>
          <w:rStyle w:val="afd"/>
          <w:sz w:val="20"/>
        </w:rPr>
        <w:t>1)</w:t>
      </w:r>
      <w:r w:rsidR="009C3774" w:rsidRPr="00A35B9B">
        <w:rPr>
          <w:sz w:val="20"/>
        </w:rPr>
        <w:t xml:space="preserve"> В </w:t>
      </w:r>
      <w:r w:rsidR="009C3774" w:rsidRPr="000C2007">
        <w:rPr>
          <w:sz w:val="20"/>
        </w:rPr>
        <w:t>I квартале 20</w:t>
      </w:r>
      <w:r w:rsidR="009C3774" w:rsidRPr="00A041C1">
        <w:rPr>
          <w:sz w:val="20"/>
        </w:rPr>
        <w:t>20</w:t>
      </w:r>
      <w:r w:rsidR="009C3774" w:rsidRPr="000C2007">
        <w:rPr>
          <w:sz w:val="20"/>
        </w:rPr>
        <w:t xml:space="preserve"> г. </w:t>
      </w:r>
      <w:r w:rsidR="009C3774" w:rsidRPr="00A35B9B">
        <w:rPr>
          <w:sz w:val="20"/>
        </w:rPr>
        <w:t xml:space="preserve">расчетная величина бюджета прожиточного минимума в среднем на душу населения </w:t>
      </w:r>
      <w:r w:rsidR="009C3774" w:rsidRPr="002D4758">
        <w:rPr>
          <w:sz w:val="20"/>
        </w:rPr>
        <w:t xml:space="preserve">составила </w:t>
      </w:r>
      <w:r w:rsidR="009C3774" w:rsidRPr="00A93EDA">
        <w:rPr>
          <w:sz w:val="20"/>
        </w:rPr>
        <w:t>2</w:t>
      </w:r>
      <w:r w:rsidR="009C3774">
        <w:rPr>
          <w:sz w:val="20"/>
        </w:rPr>
        <w:t>44</w:t>
      </w:r>
      <w:r w:rsidR="009C3774" w:rsidRPr="00A93EDA">
        <w:rPr>
          <w:sz w:val="20"/>
        </w:rPr>
        <w:t>,</w:t>
      </w:r>
      <w:r w:rsidR="009C3774">
        <w:rPr>
          <w:sz w:val="20"/>
        </w:rPr>
        <w:t>4</w:t>
      </w:r>
      <w:r w:rsidR="009C3774" w:rsidRPr="00A93EDA">
        <w:rPr>
          <w:sz w:val="20"/>
          <w:lang w:val="en-US"/>
        </w:rPr>
        <w:t> </w:t>
      </w:r>
      <w:r w:rsidR="009C3774" w:rsidRPr="00A93EDA">
        <w:rPr>
          <w:sz w:val="20"/>
        </w:rPr>
        <w:t>рубля</w:t>
      </w:r>
      <w:r w:rsidR="009C3774" w:rsidRPr="002D4758">
        <w:rPr>
          <w:sz w:val="20"/>
        </w:rPr>
        <w:t xml:space="preserve"> в</w:t>
      </w:r>
      <w:r w:rsidR="009C3774" w:rsidRPr="00A35B9B">
        <w:rPr>
          <w:sz w:val="20"/>
        </w:rPr>
        <w:t xml:space="preserve"> месяц.</w:t>
      </w:r>
    </w:p>
    <w:p w:rsidR="009C3774" w:rsidRPr="004C7D95" w:rsidRDefault="009C3774" w:rsidP="009C3774">
      <w:pPr>
        <w:pStyle w:val="21"/>
        <w:spacing w:before="180" w:line="340" w:lineRule="exact"/>
        <w:ind w:right="0"/>
      </w:pPr>
      <w:r>
        <w:t xml:space="preserve">Среди регионов наименьший уровень </w:t>
      </w:r>
      <w:proofErr w:type="spellStart"/>
      <w:r>
        <w:t>малообеспеченности</w:t>
      </w:r>
      <w:proofErr w:type="spellEnd"/>
      <w:r>
        <w:t xml:space="preserve"> отмечен </w:t>
      </w:r>
      <w:r>
        <w:br/>
        <w:t xml:space="preserve">в </w:t>
      </w:r>
      <w:proofErr w:type="spellStart"/>
      <w:r>
        <w:t>г</w:t>
      </w:r>
      <w:proofErr w:type="gramStart"/>
      <w:r>
        <w:t>.М</w:t>
      </w:r>
      <w:proofErr w:type="gramEnd"/>
      <w:r>
        <w:t>инске</w:t>
      </w:r>
      <w:proofErr w:type="spellEnd"/>
      <w:r>
        <w:t>, наибольший – в Брестской области.</w:t>
      </w:r>
    </w:p>
    <w:p w:rsidR="009C3774" w:rsidRPr="00AB5463" w:rsidRDefault="009C3774" w:rsidP="009C3774">
      <w:pPr>
        <w:pStyle w:val="30"/>
        <w:spacing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AB5463">
        <w:rPr>
          <w:rFonts w:ascii="Arial" w:hAnsi="Arial" w:cs="Arial"/>
          <w:b/>
          <w:sz w:val="22"/>
          <w:szCs w:val="22"/>
        </w:rPr>
        <w:t xml:space="preserve">Уровень </w:t>
      </w:r>
      <w:proofErr w:type="spellStart"/>
      <w:r w:rsidRPr="00AB5463">
        <w:rPr>
          <w:rFonts w:ascii="Arial" w:hAnsi="Arial" w:cs="Arial"/>
          <w:b/>
          <w:sz w:val="22"/>
          <w:szCs w:val="22"/>
        </w:rPr>
        <w:t>малообеспеченности</w:t>
      </w:r>
      <w:proofErr w:type="spellEnd"/>
      <w:r w:rsidRPr="00AB5463">
        <w:rPr>
          <w:rFonts w:ascii="Arial" w:hAnsi="Arial" w:cs="Arial"/>
          <w:b/>
          <w:sz w:val="22"/>
          <w:szCs w:val="22"/>
        </w:rPr>
        <w:t xml:space="preserve"> населения </w:t>
      </w:r>
      <w:r w:rsidRPr="00AB5463">
        <w:rPr>
          <w:rFonts w:ascii="Arial" w:hAnsi="Arial" w:cs="Arial"/>
          <w:b/>
          <w:sz w:val="22"/>
          <w:szCs w:val="22"/>
        </w:rPr>
        <w:br/>
        <w:t>по областям и г</w:t>
      </w:r>
      <w:proofErr w:type="gramStart"/>
      <w:r w:rsidRPr="00AB5463">
        <w:rPr>
          <w:rFonts w:ascii="Arial" w:hAnsi="Arial" w:cs="Arial"/>
          <w:b/>
          <w:sz w:val="22"/>
          <w:szCs w:val="22"/>
        </w:rPr>
        <w:t>.М</w:t>
      </w:r>
      <w:proofErr w:type="gramEnd"/>
      <w:r w:rsidRPr="00AB5463">
        <w:rPr>
          <w:rFonts w:ascii="Arial" w:hAnsi="Arial" w:cs="Arial"/>
          <w:b/>
          <w:sz w:val="22"/>
          <w:szCs w:val="22"/>
        </w:rPr>
        <w:t>инску</w:t>
      </w:r>
    </w:p>
    <w:p w:rsidR="009C3774" w:rsidRPr="00144799" w:rsidRDefault="009C3774" w:rsidP="009C3774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t xml:space="preserve">(в </w:t>
      </w:r>
      <w:r w:rsidRPr="008E147D">
        <w:rPr>
          <w:rFonts w:ascii="Arial" w:hAnsi="Arial" w:cs="Arial"/>
          <w:i/>
          <w:noProof/>
        </w:rPr>
        <w:t>%</w:t>
      </w:r>
      <w:r w:rsidRPr="00144799">
        <w:rPr>
          <w:rFonts w:ascii="Arial" w:hAnsi="Arial" w:cs="Arial"/>
          <w:i/>
          <w:noProof/>
        </w:rPr>
        <w:t xml:space="preserve"> </w:t>
      </w:r>
      <w:r>
        <w:rPr>
          <w:rFonts w:ascii="Arial" w:hAnsi="Arial" w:cs="Arial"/>
          <w:i/>
          <w:noProof/>
        </w:rPr>
        <w:t>от</w:t>
      </w:r>
      <w:r w:rsidRPr="00144799">
        <w:rPr>
          <w:rFonts w:ascii="Arial" w:hAnsi="Arial" w:cs="Arial"/>
          <w:i/>
          <w:noProof/>
        </w:rPr>
        <w:t xml:space="preserve"> общей численности населения</w:t>
      </w:r>
      <w:r>
        <w:rPr>
          <w:rFonts w:ascii="Arial" w:hAnsi="Arial" w:cs="Arial"/>
          <w:i/>
          <w:noProof/>
        </w:rPr>
        <w:t xml:space="preserve"> соответствующей области</w:t>
      </w:r>
      <w:r w:rsidRPr="00144799">
        <w:rPr>
          <w:rFonts w:ascii="Arial" w:hAnsi="Arial" w:cs="Arial"/>
          <w:i/>
          <w:noProof/>
        </w:rPr>
        <w:t>)</w:t>
      </w:r>
    </w:p>
    <w:p w:rsidR="009C3774" w:rsidRPr="00D33BAE" w:rsidRDefault="009C3774" w:rsidP="009C3774">
      <w:pPr>
        <w:ind w:hanging="294"/>
      </w:pPr>
      <w:r>
        <w:rPr>
          <w:noProof/>
        </w:rPr>
        <w:drawing>
          <wp:inline distT="0" distB="0" distL="0" distR="0">
            <wp:extent cx="6188149" cy="2428624"/>
            <wp:effectExtent l="0" t="0" r="0" b="0"/>
            <wp:docPr id="2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C3774" w:rsidRPr="007D7793" w:rsidRDefault="009C3774" w:rsidP="007D7793">
      <w:pPr>
        <w:tabs>
          <w:tab w:val="left" w:pos="3969"/>
          <w:tab w:val="left" w:pos="5954"/>
        </w:tabs>
        <w:spacing w:line="20" w:lineRule="exact"/>
        <w:rPr>
          <w:sz w:val="2"/>
          <w:szCs w:val="2"/>
        </w:rPr>
      </w:pPr>
    </w:p>
    <w:sectPr w:rsidR="009C3774" w:rsidRPr="007D7793" w:rsidSect="005A084A">
      <w:headerReference w:type="even" r:id="rId11"/>
      <w:headerReference w:type="default" r:id="rId12"/>
      <w:footerReference w:type="even" r:id="rId13"/>
      <w:footerReference w:type="default" r:id="rId14"/>
      <w:footnotePr>
        <w:pos w:val="beneathText"/>
      </w:footnotePr>
      <w:type w:val="continuous"/>
      <w:pgSz w:w="11906" w:h="16838" w:code="9"/>
      <w:pgMar w:top="1701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A9" w:rsidRDefault="005324A9">
      <w:r>
        <w:separator/>
      </w:r>
    </w:p>
  </w:endnote>
  <w:endnote w:type="continuationSeparator" w:id="0">
    <w:p w:rsidR="005324A9" w:rsidRDefault="00532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56209"/>
      <w:docPartObj>
        <w:docPartGallery w:val="Page Numbers (Bottom of Page)"/>
        <w:docPartUnique/>
      </w:docPartObj>
    </w:sdtPr>
    <w:sdtEndPr/>
    <w:sdtContent>
      <w:p w:rsidR="00032650" w:rsidRDefault="00E6048C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84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087570"/>
      <w:docPartObj>
        <w:docPartGallery w:val="Page Numbers (Bottom of Page)"/>
        <w:docPartUnique/>
      </w:docPartObj>
    </w:sdtPr>
    <w:sdtEndPr/>
    <w:sdtContent>
      <w:p w:rsidR="00B9439E" w:rsidRDefault="00B9439E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84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A9" w:rsidRDefault="005324A9">
      <w:r>
        <w:separator/>
      </w:r>
    </w:p>
  </w:footnote>
  <w:footnote w:type="continuationSeparator" w:id="0">
    <w:p w:rsidR="005324A9" w:rsidRDefault="005324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50" w:rsidRDefault="00032650" w:rsidP="00B9439E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2650" w:rsidRDefault="00032650" w:rsidP="00B9439E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650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BAB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343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D0E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3F39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0C0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597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C1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9DE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5A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283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432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0F7A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29A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0F8"/>
    <w:rsid w:val="0022664D"/>
    <w:rsid w:val="0022681F"/>
    <w:rsid w:val="00226BB0"/>
    <w:rsid w:val="00226CF0"/>
    <w:rsid w:val="00226CF8"/>
    <w:rsid w:val="00226FC5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3D5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4C8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1E"/>
    <w:rsid w:val="00270984"/>
    <w:rsid w:val="00270E99"/>
    <w:rsid w:val="00271348"/>
    <w:rsid w:val="0027135E"/>
    <w:rsid w:val="00271368"/>
    <w:rsid w:val="00271CA0"/>
    <w:rsid w:val="0027270D"/>
    <w:rsid w:val="00272734"/>
    <w:rsid w:val="0027281B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487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735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9C4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BED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CF1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604"/>
    <w:rsid w:val="0038067C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40E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380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3BF9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5C4F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655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001"/>
    <w:rsid w:val="0043067F"/>
    <w:rsid w:val="00430788"/>
    <w:rsid w:val="004311E2"/>
    <w:rsid w:val="0043127A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ABD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A5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87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99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79D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D4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35D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4A9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60D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B07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6F4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AFE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84A"/>
    <w:rsid w:val="005A0A78"/>
    <w:rsid w:val="005A0AFB"/>
    <w:rsid w:val="005A1558"/>
    <w:rsid w:val="005A1672"/>
    <w:rsid w:val="005A1B1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82E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C8F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5D54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2CB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100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41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41D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7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188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193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793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B5B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5F83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4ED0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079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6F0B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5D1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DB8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1A4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BCC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725"/>
    <w:rsid w:val="0097485D"/>
    <w:rsid w:val="0097527E"/>
    <w:rsid w:val="00975366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58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774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5FC9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217"/>
    <w:rsid w:val="009D022D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0C1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686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117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1AC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3BD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372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151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486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E25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24A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47AD9"/>
    <w:rsid w:val="00B50269"/>
    <w:rsid w:val="00B50599"/>
    <w:rsid w:val="00B506BB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DB4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078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39E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7D5"/>
    <w:rsid w:val="00BC7CC2"/>
    <w:rsid w:val="00BD01B8"/>
    <w:rsid w:val="00BD0283"/>
    <w:rsid w:val="00BD08A4"/>
    <w:rsid w:val="00BD0BE6"/>
    <w:rsid w:val="00BD0C6E"/>
    <w:rsid w:val="00BD0CDB"/>
    <w:rsid w:val="00BD0F29"/>
    <w:rsid w:val="00BD11F0"/>
    <w:rsid w:val="00BD130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910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17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3F4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29AB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299"/>
    <w:rsid w:val="00C5234F"/>
    <w:rsid w:val="00C52406"/>
    <w:rsid w:val="00C52466"/>
    <w:rsid w:val="00C526A2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5A7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4B8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29E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1AEB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061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87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64"/>
    <w:rsid w:val="00DD0BB0"/>
    <w:rsid w:val="00DD1207"/>
    <w:rsid w:val="00DD1545"/>
    <w:rsid w:val="00DD1871"/>
    <w:rsid w:val="00DD18D3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48C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9B2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326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9D9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8C5"/>
    <w:rsid w:val="00EB7D20"/>
    <w:rsid w:val="00EB7DE0"/>
    <w:rsid w:val="00EC061D"/>
    <w:rsid w:val="00EC0918"/>
    <w:rsid w:val="00EC09B6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6C19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4B6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B6A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34E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27DDC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5A6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B9B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B7C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1028E-2"/>
          <c:w val="0.90971256776971732"/>
          <c:h val="0.74686882468519111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0"/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bubble3D val="0"/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2.2033581419609611E-2"/>
                  <c:y val="-4.6927448756399143E-7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9425211066085402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4987171410156966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070524285475615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8.5641942838049628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8.5641942838049229E-3"/>
                  <c:y val="-5.9597859920626911E-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6.423145712853692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8.5641942838049229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6.423145712853692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8.5641942838049229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4.2820971419024615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6.4231457128536926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0769857003243434E-4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0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2.1410485709512307E-3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1.0705242854756153E-2"/>
                  <c:y val="0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#,##0.0</c:formatCode>
                <c:ptCount val="16"/>
                <c:pt idx="0">
                  <c:v>107.2</c:v>
                </c:pt>
                <c:pt idx="1">
                  <c:v>107.1</c:v>
                </c:pt>
                <c:pt idx="2">
                  <c:v>107.4</c:v>
                </c:pt>
                <c:pt idx="3">
                  <c:v>107.6</c:v>
                </c:pt>
                <c:pt idx="4">
                  <c:v>107.2</c:v>
                </c:pt>
                <c:pt idx="5">
                  <c:v>107</c:v>
                </c:pt>
                <c:pt idx="6">
                  <c:v>107.1</c:v>
                </c:pt>
                <c:pt idx="7">
                  <c:v>106.8</c:v>
                </c:pt>
                <c:pt idx="8">
                  <c:v>106.8</c:v>
                </c:pt>
                <c:pt idx="9">
                  <c:v>106.6</c:v>
                </c:pt>
                <c:pt idx="10">
                  <c:v>106.3</c:v>
                </c:pt>
                <c:pt idx="11">
                  <c:v>106</c:v>
                </c:pt>
                <c:pt idx="12">
                  <c:v>106.8</c:v>
                </c:pt>
                <c:pt idx="13">
                  <c:v>107.1</c:v>
                </c:pt>
                <c:pt idx="14">
                  <c:v>107.1</c:v>
                </c:pt>
                <c:pt idx="15">
                  <c:v>105.7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5647360"/>
        <c:axId val="134175360"/>
      </c:lineChart>
      <c:catAx>
        <c:axId val="85647360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2019 г.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2020 г.             </a:t>
                </a:r>
              </a:p>
            </c:rich>
          </c:tx>
          <c:layout>
            <c:manualLayout>
              <c:xMode val="edge"/>
              <c:yMode val="edge"/>
              <c:x val="0.43109390109131096"/>
              <c:y val="0.88948207561011361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34175360"/>
        <c:crossesAt val="100"/>
        <c:auto val="1"/>
        <c:lblAlgn val="ctr"/>
        <c:lblOffset val="100"/>
        <c:noMultiLvlLbl val="0"/>
      </c:catAx>
      <c:valAx>
        <c:axId val="134175360"/>
        <c:scaling>
          <c:orientation val="minMax"/>
          <c:max val="115"/>
          <c:min val="10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85647360"/>
        <c:crosses val="autoZero"/>
        <c:crossBetween val="midCat"/>
        <c:majorUnit val="1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9.0430042398546628E-2"/>
          <c:y val="4.8888929843395212E-2"/>
          <c:w val="0.89359129383313263"/>
          <c:h val="0.6666666666666666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I квартал 2019 г.</c:v>
                </c:pt>
              </c:strCache>
            </c:strRef>
          </c:tx>
          <c:spPr>
            <a:solidFill>
              <a:srgbClr val="0080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2.0512820512820604E-3"/>
                  <c:y val="1.7554125219426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"/>
                  <c:y val="1.7554125219426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"/>
                  <c:y val="1.7554125219426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0512820512820604E-3"/>
                  <c:y val="1.7554125219426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0"/>
                  <c:y val="1.1702750146284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0"/>
                  <c:y val="1.1702750146284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1.75541252194266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Могилевская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</c:v>
                </c:pt>
                <c:pt idx="1">
                  <c:v>4.2</c:v>
                </c:pt>
                <c:pt idx="2">
                  <c:v>4.5999999999999996</c:v>
                </c:pt>
                <c:pt idx="3">
                  <c:v>6.8</c:v>
                </c:pt>
                <c:pt idx="4">
                  <c:v>6.7</c:v>
                </c:pt>
                <c:pt idx="5">
                  <c:v>7.5</c:v>
                </c:pt>
                <c:pt idx="6">
                  <c:v>7.6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I квартал 2020 г.</c:v>
                </c:pt>
              </c:strCache>
            </c:strRef>
          </c:tx>
          <c:spPr>
            <a:solidFill>
              <a:srgbClr val="FF6600"/>
            </a:solidFill>
            <a:ln w="18624">
              <a:noFill/>
            </a:ln>
          </c:spPr>
          <c:invertIfNegative val="0"/>
          <c:dLbls>
            <c:dLbl>
              <c:idx val="0"/>
              <c:layout>
                <c:manualLayout>
                  <c:x val="-4.4421238479191939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5314971492630506E-3"/>
                  <c:y val="1.833207236995748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1531869774556423E-3"/>
                  <c:y val="1.39575656491216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5954632981647116E-4"/>
                  <c:y val="1.57508336368986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3023255813953835E-5"/>
                  <c:y val="2.599480675336367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1.7814842950572523E-5"/>
                  <c:y val="1.318920988968906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6022612558045629E-3"/>
                  <c:y val="2.004579737655682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18624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Гродненская</c:v>
                </c:pt>
                <c:pt idx="2">
                  <c:v>Минская</c:v>
                </c:pt>
                <c:pt idx="3">
                  <c:v>Могилевская</c:v>
                </c:pt>
                <c:pt idx="4">
                  <c:v>Витебская</c:v>
                </c:pt>
                <c:pt idx="5">
                  <c:v>Гомельская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0.9</c:v>
                </c:pt>
                <c:pt idx="1">
                  <c:v>3.5</c:v>
                </c:pt>
                <c:pt idx="2">
                  <c:v>3.7</c:v>
                </c:pt>
                <c:pt idx="3">
                  <c:v>6.4</c:v>
                </c:pt>
                <c:pt idx="4">
                  <c:v>6.5</c:v>
                </c:pt>
                <c:pt idx="5">
                  <c:v>6.6</c:v>
                </c:pt>
                <c:pt idx="6">
                  <c:v>6.7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117689728"/>
        <c:axId val="117691520"/>
      </c:barChart>
      <c:catAx>
        <c:axId val="1176897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91520"/>
        <c:crossesAt val="0"/>
        <c:auto val="1"/>
        <c:lblAlgn val="ctr"/>
        <c:lblOffset val="100"/>
        <c:tickLblSkip val="1"/>
        <c:tickMarkSkip val="1"/>
        <c:noMultiLvlLbl val="0"/>
      </c:catAx>
      <c:valAx>
        <c:axId val="117691520"/>
        <c:scaling>
          <c:orientation val="minMax"/>
          <c:max val="10"/>
          <c:min val="0"/>
        </c:scaling>
        <c:delete val="0"/>
        <c:axPos val="l"/>
        <c:majorGridlines>
          <c:spPr>
            <a:ln w="2328">
              <a:solidFill>
                <a:srgbClr val="C0C0C0"/>
              </a:solidFill>
              <a:prstDash val="solid"/>
            </a:ln>
          </c:spPr>
        </c:majorGridlines>
        <c:numFmt formatCode="0.0" sourceLinked="1"/>
        <c:majorTickMark val="out"/>
        <c:minorTickMark val="none"/>
        <c:tickLblPos val="nextTo"/>
        <c:spPr>
          <a:ln w="931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689728"/>
        <c:crosses val="autoZero"/>
        <c:crossBetween val="between"/>
        <c:majorUnit val="5"/>
        <c:minorUnit val="1"/>
      </c:valAx>
      <c:spPr>
        <a:solidFill>
          <a:srgbClr val="EAEAEA"/>
        </a:solidFill>
        <a:ln w="18624">
          <a:noFill/>
        </a:ln>
      </c:spPr>
    </c:plotArea>
    <c:legend>
      <c:legendPos val="b"/>
      <c:layout>
        <c:manualLayout>
          <c:xMode val="edge"/>
          <c:yMode val="edge"/>
          <c:x val="0.29139071922383025"/>
          <c:y val="0.8768473688684546"/>
          <c:w val="0.48609275695438381"/>
          <c:h val="0.11822646983818083"/>
        </c:manualLayout>
      </c:layout>
      <c:overlay val="0"/>
      <c:spPr>
        <a:solidFill>
          <a:srgbClr val="FFFFFF"/>
        </a:solidFill>
        <a:ln w="18624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2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2D4B-9EF4-46B1-B6EB-83B1E2212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216</cp:revision>
  <cp:lastPrinted>2020-06-17T05:43:00Z</cp:lastPrinted>
  <dcterms:created xsi:type="dcterms:W3CDTF">2018-10-22T14:40:00Z</dcterms:created>
  <dcterms:modified xsi:type="dcterms:W3CDTF">2020-06-23T14:17:00Z</dcterms:modified>
</cp:coreProperties>
</file>