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9" w:rsidRDefault="006023C9" w:rsidP="00F401CD">
      <w:pPr>
        <w:tabs>
          <w:tab w:val="left" w:pos="7875"/>
        </w:tabs>
        <w:spacing w:before="240" w:after="240" w:line="320" w:lineRule="exact"/>
        <w:ind w:firstLine="709"/>
        <w:jc w:val="both"/>
        <w:outlineLvl w:val="0"/>
        <w:rPr>
          <w:b/>
          <w:sz w:val="30"/>
          <w:szCs w:val="30"/>
        </w:rPr>
      </w:pPr>
      <w:bookmarkStart w:id="0" w:name="_GoBack"/>
      <w:bookmarkEnd w:id="0"/>
      <w:r>
        <w:rPr>
          <w:b/>
          <w:sz w:val="30"/>
          <w:szCs w:val="30"/>
        </w:rPr>
        <w:t>МЕТОДОЛОГИЧЕСКИЕ ПОЯСНЕНИЯ</w:t>
      </w:r>
    </w:p>
    <w:p w:rsidR="00F401CD" w:rsidRPr="00936FE2" w:rsidRDefault="00F401CD" w:rsidP="00F401CD">
      <w:pPr>
        <w:tabs>
          <w:tab w:val="left" w:pos="7875"/>
        </w:tabs>
        <w:spacing w:before="240" w:after="24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401CD" w:rsidRPr="00936FE2" w:rsidRDefault="00F401CD" w:rsidP="00F401CD">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401CD" w:rsidRPr="00936FE2" w:rsidRDefault="00F401CD" w:rsidP="00F401CD">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401CD" w:rsidRPr="00936FE2" w:rsidRDefault="00F401CD" w:rsidP="00F401CD">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401CD" w:rsidRPr="0014490D" w:rsidRDefault="00F401CD" w:rsidP="00F401CD">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401CD" w:rsidRPr="0014490D" w:rsidRDefault="00F401CD" w:rsidP="00F401CD">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401CD" w:rsidRPr="00936FE2" w:rsidRDefault="00F401CD" w:rsidP="00F401CD">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401CD" w:rsidRPr="00936FE2" w:rsidRDefault="00F401CD" w:rsidP="00F401CD">
      <w:pPr>
        <w:tabs>
          <w:tab w:val="left" w:pos="5580"/>
        </w:tabs>
        <w:spacing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401CD" w:rsidRPr="00936FE2" w:rsidRDefault="00F401CD" w:rsidP="00F401CD">
      <w:pPr>
        <w:tabs>
          <w:tab w:val="left" w:pos="1134"/>
          <w:tab w:val="left" w:pos="1276"/>
        </w:tabs>
        <w:spacing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401CD" w:rsidRPr="00936FE2" w:rsidRDefault="00F401CD" w:rsidP="00F401CD">
      <w:pPr>
        <w:spacing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Pr>
          <w:sz w:val="26"/>
          <w:szCs w:val="26"/>
        </w:rPr>
        <w:br/>
      </w:r>
      <w:r w:rsidRPr="00936FE2">
        <w:rPr>
          <w:sz w:val="26"/>
          <w:szCs w:val="26"/>
        </w:rPr>
        <w:t>кто финансирует расходы на конечное потребление.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в качестве дохода </w:t>
      </w:r>
      <w:r w:rsidRPr="00936FE2">
        <w:rPr>
          <w:sz w:val="26"/>
          <w:szCs w:val="26"/>
        </w:rPr>
        <w:t>в натуральной форме (кроме социальных трансфертов 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w:t>
      </w:r>
      <w:r w:rsidR="009416EF">
        <w:rPr>
          <w:sz w:val="26"/>
          <w:szCs w:val="26"/>
        </w:rPr>
        <w:t xml:space="preserve"> образом</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401CD"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F401CD" w:rsidRDefault="00F401CD" w:rsidP="00F401CD">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401CD" w:rsidRPr="00936FE2" w:rsidRDefault="00F401CD" w:rsidP="00F401CD">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DD7DFA">
      <w:pPr>
        <w:spacing w:line="29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DD7DFA">
      <w:pPr>
        <w:spacing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DD7DFA">
      <w:pPr>
        <w:spacing w:line="29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DD7DFA">
      <w:pPr>
        <w:spacing w:line="29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DD7DFA">
      <w:pPr>
        <w:spacing w:line="29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t>Сельское хозяйство</w:t>
      </w:r>
    </w:p>
    <w:p w:rsidR="00DD7DFA" w:rsidRDefault="00DD7DFA" w:rsidP="00DD7DFA">
      <w:pPr>
        <w:spacing w:line="29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D7DFA" w:rsidRDefault="00DD7DFA" w:rsidP="00DD7DFA">
      <w:pPr>
        <w:spacing w:line="29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D7DFA" w:rsidRDefault="00DD7DFA" w:rsidP="00DD7DFA">
      <w:pPr>
        <w:spacing w:line="300" w:lineRule="exact"/>
        <w:ind w:firstLine="709"/>
        <w:jc w:val="both"/>
        <w:rPr>
          <w:sz w:val="26"/>
          <w:szCs w:val="26"/>
        </w:rPr>
      </w:pPr>
      <w:r>
        <w:rPr>
          <w:sz w:val="26"/>
          <w:szCs w:val="26"/>
        </w:rPr>
        <w:lastRenderedPageBreak/>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приводятся данные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D7DFA" w:rsidRDefault="00DD7DFA" w:rsidP="00DD7DFA">
      <w:pPr>
        <w:pStyle w:val="31"/>
        <w:spacing w:before="0" w:line="300" w:lineRule="exact"/>
        <w:rPr>
          <w:szCs w:val="26"/>
        </w:rPr>
      </w:pPr>
      <w:proofErr w:type="gramStart"/>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w:t>
      </w:r>
      <w:r>
        <w:rPr>
          <w:szCs w:val="26"/>
        </w:rPr>
        <w:t>приводятся данные</w:t>
      </w:r>
      <w:r>
        <w:rPr>
          <w:i/>
          <w:szCs w:val="26"/>
        </w:rPr>
        <w:t xml:space="preserve"> </w:t>
      </w:r>
      <w:r>
        <w:rPr>
          <w:szCs w:val="26"/>
        </w:rPr>
        <w:t xml:space="preserve">по 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proofErr w:type="gramEnd"/>
    </w:p>
    <w:p w:rsidR="00DD7DFA" w:rsidRDefault="00DD7DFA" w:rsidP="00DD7DFA">
      <w:pPr>
        <w:pStyle w:val="31"/>
        <w:spacing w:before="0" w:line="30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D7DFA" w:rsidRDefault="00DD7DFA" w:rsidP="00DD7DFA">
      <w:pPr>
        <w:spacing w:line="30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D7DFA" w:rsidRDefault="00DD7DFA" w:rsidP="00DD7DFA">
      <w:pPr>
        <w:spacing w:line="30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Pr>
          <w:b/>
          <w:sz w:val="26"/>
          <w:szCs w:val="26"/>
        </w:rPr>
        <w:t xml:space="preserve"> </w:t>
      </w:r>
    </w:p>
    <w:p w:rsidR="00DD7DFA" w:rsidRDefault="00DD7DFA" w:rsidP="00DD7DFA">
      <w:pPr>
        <w:spacing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D7DFA" w:rsidRDefault="00DD7DFA" w:rsidP="00DD7DFA">
      <w:pPr>
        <w:pStyle w:val="31"/>
        <w:spacing w:before="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D7DFA" w:rsidRDefault="00DD7DFA" w:rsidP="00DD7DFA">
      <w:pPr>
        <w:spacing w:line="30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D7DFA" w:rsidRDefault="00DD7DFA" w:rsidP="00DD7DFA">
      <w:pPr>
        <w:spacing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D7DFA" w:rsidRDefault="00DD7DFA" w:rsidP="00DD7DFA">
      <w:pPr>
        <w:spacing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D7DFA" w:rsidRDefault="00DD7DFA" w:rsidP="00DD7DFA">
      <w:pPr>
        <w:spacing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D7DFA" w:rsidRDefault="00DD7DFA" w:rsidP="00DD7DFA">
      <w:pPr>
        <w:spacing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D7DFA" w:rsidRDefault="00DD7DFA" w:rsidP="00DD7DFA">
      <w:pPr>
        <w:spacing w:line="286"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D7DFA" w:rsidRDefault="00DD7DFA" w:rsidP="00DD7DFA">
      <w:pPr>
        <w:spacing w:line="286"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D7DFA" w:rsidRDefault="00DD7DFA" w:rsidP="00DD7DFA">
      <w:pPr>
        <w:spacing w:line="286"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D7DFA" w:rsidRDefault="00DD7DFA" w:rsidP="00DD7DFA">
      <w:pPr>
        <w:spacing w:line="286"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D7DFA" w:rsidRDefault="00DD7DFA" w:rsidP="00DD7DFA">
      <w:pPr>
        <w:spacing w:line="286"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DD7DFA">
      <w:pPr>
        <w:spacing w:line="286"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DD7DFA">
      <w:pPr>
        <w:spacing w:line="286"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DD7DFA">
      <w:pPr>
        <w:spacing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w:t>
      </w:r>
      <w:r>
        <w:rPr>
          <w:iCs/>
          <w:sz w:val="26"/>
          <w:szCs w:val="26"/>
        </w:rPr>
        <w:t>изации за отчетный период</w:t>
      </w:r>
      <w:r w:rsidR="00F90B0B">
        <w:rPr>
          <w:iCs/>
          <w:sz w:val="26"/>
          <w:szCs w:val="26"/>
        </w:rPr>
        <w:t>,</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F86CE4">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F86CE4">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F86CE4">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F86CE4">
      <w:pPr>
        <w:pStyle w:val="20"/>
        <w:spacing w:before="0" w:line="30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F86CE4">
      <w:pPr>
        <w:pStyle w:val="20"/>
        <w:spacing w:before="0" w:line="300" w:lineRule="exact"/>
        <w:ind w:firstLine="709"/>
        <w:rPr>
          <w:szCs w:val="26"/>
        </w:rPr>
      </w:pPr>
      <w:r>
        <w:rPr>
          <w:szCs w:val="26"/>
        </w:rPr>
        <w:t>не имели работы (занятия, приносящего доход);</w:t>
      </w:r>
    </w:p>
    <w:p w:rsidR="005E6537" w:rsidRDefault="005E6537" w:rsidP="00F86CE4">
      <w:pPr>
        <w:pStyle w:val="20"/>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F86CE4">
      <w:pPr>
        <w:pStyle w:val="20"/>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F86CE4">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5E6537" w:rsidRDefault="005E6537" w:rsidP="00F86CE4">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2467DF">
      <w:headerReference w:type="default" r:id="rId9"/>
      <w:footerReference w:type="even" r:id="rId10"/>
      <w:footerReference w:type="default" r:id="rId11"/>
      <w:pgSz w:w="11906" w:h="16838" w:code="9"/>
      <w:pgMar w:top="1588" w:right="1418" w:bottom="1418" w:left="1418" w:header="1247" w:footer="1134" w:gutter="0"/>
      <w:pgNumType w:start="1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FCE" w:rsidRDefault="00470FCE">
      <w:r>
        <w:separator/>
      </w:r>
    </w:p>
  </w:endnote>
  <w:endnote w:type="continuationSeparator" w:id="0">
    <w:p w:rsidR="00470FCE" w:rsidRDefault="0047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2467DF">
      <w:rPr>
        <w:rStyle w:val="ac"/>
        <w:noProof/>
        <w:sz w:val="20"/>
      </w:rPr>
      <w:t>132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FCE" w:rsidRDefault="00470FCE">
      <w:r>
        <w:separator/>
      </w:r>
    </w:p>
  </w:footnote>
  <w:footnote w:type="continuationSeparator" w:id="0">
    <w:p w:rsidR="00470FCE" w:rsidRDefault="00470FCE">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041"/>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8C8"/>
    <w:rsid w:val="008651AB"/>
    <w:rsid w:val="0086550D"/>
    <w:rsid w:val="00865D52"/>
    <w:rsid w:val="00865EEB"/>
    <w:rsid w:val="008718C1"/>
    <w:rsid w:val="00871CFB"/>
    <w:rsid w:val="00873E85"/>
    <w:rsid w:val="008745EF"/>
    <w:rsid w:val="00875EDC"/>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2EE0"/>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4367C-892F-4360-B40C-763793B1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23</Pages>
  <Words>8773</Words>
  <Characters>50010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58666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78</cp:revision>
  <cp:lastPrinted>2019-05-22T07:48:00Z</cp:lastPrinted>
  <dcterms:created xsi:type="dcterms:W3CDTF">2021-02-16T08:39:00Z</dcterms:created>
  <dcterms:modified xsi:type="dcterms:W3CDTF">2022-12-23T07:11:00Z</dcterms:modified>
</cp:coreProperties>
</file>