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FCE" w:rsidRPr="001B505F" w:rsidRDefault="00205D1E" w:rsidP="00D5652A">
      <w:pPr>
        <w:pStyle w:val="aa"/>
        <w:spacing w:before="120" w:after="120" w:line="260" w:lineRule="exact"/>
        <w:rPr>
          <w:sz w:val="26"/>
          <w:szCs w:val="26"/>
        </w:rPr>
      </w:pPr>
      <w:r>
        <w:rPr>
          <w:sz w:val="26"/>
          <w:szCs w:val="26"/>
        </w:rPr>
        <w:t>9</w:t>
      </w:r>
      <w:r w:rsidR="00DC4FCE" w:rsidRPr="007D6256">
        <w:rPr>
          <w:sz w:val="26"/>
          <w:szCs w:val="26"/>
        </w:rPr>
        <w:t>. ПЛАТНЫЕ</w:t>
      </w:r>
      <w:r w:rsidR="00DC4FCE" w:rsidRPr="001B505F">
        <w:rPr>
          <w:sz w:val="26"/>
          <w:szCs w:val="26"/>
        </w:rPr>
        <w:t xml:space="preserve"> УСЛУГИ НАСЕЛЕНИЮ</w:t>
      </w:r>
    </w:p>
    <w:p w:rsidR="00DC4FCE" w:rsidRPr="00F65242" w:rsidRDefault="00DC4FCE" w:rsidP="00FB5A1E">
      <w:pPr>
        <w:pStyle w:val="aa"/>
        <w:rPr>
          <w:rFonts w:ascii="Times New Roman" w:hAnsi="Times New Roman"/>
          <w:sz w:val="8"/>
          <w:szCs w:val="8"/>
        </w:rPr>
      </w:pPr>
    </w:p>
    <w:p w:rsidR="00220761" w:rsidRPr="005A4191" w:rsidRDefault="00220761" w:rsidP="00D5652A">
      <w:pPr>
        <w:spacing w:line="340" w:lineRule="exact"/>
        <w:ind w:firstLine="709"/>
        <w:jc w:val="both"/>
        <w:rPr>
          <w:sz w:val="26"/>
        </w:rPr>
      </w:pPr>
      <w:r w:rsidRPr="005A4191">
        <w:rPr>
          <w:b/>
          <w:sz w:val="26"/>
        </w:rPr>
        <w:t>Объем платных услуг населению</w:t>
      </w:r>
      <w:r w:rsidRPr="005A4191">
        <w:rPr>
          <w:sz w:val="26"/>
        </w:rPr>
        <w:t xml:space="preserve"> в </w:t>
      </w:r>
      <w:r w:rsidR="00B00BA4" w:rsidRPr="005A4191">
        <w:rPr>
          <w:sz w:val="26"/>
          <w:lang w:val="en-US"/>
        </w:rPr>
        <w:t>I</w:t>
      </w:r>
      <w:r w:rsidR="00B00BA4" w:rsidRPr="005A4191">
        <w:rPr>
          <w:sz w:val="26"/>
        </w:rPr>
        <w:t xml:space="preserve"> квартале</w:t>
      </w:r>
      <w:r w:rsidR="00E507C8" w:rsidRPr="005A4191">
        <w:rPr>
          <w:sz w:val="26"/>
        </w:rPr>
        <w:t xml:space="preserve"> </w:t>
      </w:r>
      <w:r w:rsidRPr="005A4191">
        <w:rPr>
          <w:sz w:val="26"/>
        </w:rPr>
        <w:t>20</w:t>
      </w:r>
      <w:r w:rsidR="00CA13F3" w:rsidRPr="005A4191">
        <w:rPr>
          <w:sz w:val="26"/>
        </w:rPr>
        <w:t>2</w:t>
      </w:r>
      <w:r w:rsidR="00E507C8" w:rsidRPr="005A4191">
        <w:rPr>
          <w:sz w:val="26"/>
        </w:rPr>
        <w:t>2</w:t>
      </w:r>
      <w:r w:rsidRPr="005A4191">
        <w:rPr>
          <w:sz w:val="26"/>
        </w:rPr>
        <w:t xml:space="preserve"> г</w:t>
      </w:r>
      <w:r w:rsidR="00B00BA4" w:rsidRPr="005A4191">
        <w:rPr>
          <w:sz w:val="26"/>
        </w:rPr>
        <w:t>.</w:t>
      </w:r>
      <w:r w:rsidRPr="005A4191">
        <w:rPr>
          <w:sz w:val="26"/>
        </w:rPr>
        <w:t xml:space="preserve"> составил </w:t>
      </w:r>
      <w:r w:rsidR="005A4191" w:rsidRPr="005A4191">
        <w:rPr>
          <w:sz w:val="26"/>
        </w:rPr>
        <w:t xml:space="preserve"> </w:t>
      </w:r>
      <w:r w:rsidR="00E507C8" w:rsidRPr="005A4191">
        <w:rPr>
          <w:sz w:val="26"/>
        </w:rPr>
        <w:t>4</w:t>
      </w:r>
      <w:r w:rsidR="00421C3E" w:rsidRPr="005A4191">
        <w:rPr>
          <w:sz w:val="26"/>
        </w:rPr>
        <w:t>,</w:t>
      </w:r>
      <w:r w:rsidR="00E507C8" w:rsidRPr="005A4191">
        <w:rPr>
          <w:sz w:val="26"/>
        </w:rPr>
        <w:t>1</w:t>
      </w:r>
      <w:r w:rsidRPr="005A4191">
        <w:rPr>
          <w:sz w:val="26"/>
        </w:rPr>
        <w:t xml:space="preserve"> </w:t>
      </w:r>
      <w:r w:rsidRPr="005A4191">
        <w:rPr>
          <w:bCs/>
          <w:sz w:val="26"/>
          <w:szCs w:val="26"/>
        </w:rPr>
        <w:t>млрд.</w:t>
      </w:r>
      <w:r w:rsidRPr="005A4191">
        <w:rPr>
          <w:bCs/>
          <w:color w:val="FF0000"/>
          <w:sz w:val="26"/>
          <w:szCs w:val="26"/>
        </w:rPr>
        <w:t xml:space="preserve"> </w:t>
      </w:r>
      <w:r w:rsidRPr="005A4191">
        <w:rPr>
          <w:sz w:val="26"/>
        </w:rPr>
        <w:t xml:space="preserve">рублей, или в сопоставимых ценах </w:t>
      </w:r>
      <w:r w:rsidR="00421C3E" w:rsidRPr="005A4191">
        <w:rPr>
          <w:sz w:val="26"/>
        </w:rPr>
        <w:t>1</w:t>
      </w:r>
      <w:r w:rsidR="00E507C8" w:rsidRPr="005A4191">
        <w:rPr>
          <w:sz w:val="26"/>
        </w:rPr>
        <w:t>04</w:t>
      </w:r>
      <w:r w:rsidR="00421C3E" w:rsidRPr="005A4191">
        <w:rPr>
          <w:sz w:val="26"/>
        </w:rPr>
        <w:t>,</w:t>
      </w:r>
      <w:r w:rsidR="00E507C8" w:rsidRPr="005A4191">
        <w:rPr>
          <w:sz w:val="26"/>
        </w:rPr>
        <w:t>2</w:t>
      </w:r>
      <w:r w:rsidRPr="005A4191">
        <w:rPr>
          <w:sz w:val="26"/>
        </w:rPr>
        <w:t xml:space="preserve">% к уровню </w:t>
      </w:r>
      <w:r w:rsidR="00B00BA4" w:rsidRPr="005A4191">
        <w:rPr>
          <w:sz w:val="26"/>
        </w:rPr>
        <w:t>I квартала</w:t>
      </w:r>
      <w:r w:rsidR="00E507C8" w:rsidRPr="005A4191">
        <w:rPr>
          <w:sz w:val="26"/>
        </w:rPr>
        <w:t xml:space="preserve"> 2021</w:t>
      </w:r>
      <w:r w:rsidR="00B00BA4" w:rsidRPr="005A4191">
        <w:rPr>
          <w:sz w:val="26"/>
        </w:rPr>
        <w:t> </w:t>
      </w:r>
      <w:r w:rsidRPr="005A4191">
        <w:rPr>
          <w:sz w:val="26"/>
        </w:rPr>
        <w:t>г.</w:t>
      </w:r>
    </w:p>
    <w:p w:rsidR="008042AA" w:rsidRPr="00F0491C" w:rsidRDefault="008042AA" w:rsidP="00D5652A">
      <w:pPr>
        <w:pStyle w:val="a3"/>
        <w:tabs>
          <w:tab w:val="left" w:pos="708"/>
        </w:tabs>
        <w:spacing w:before="240" w:after="60" w:line="260" w:lineRule="exact"/>
        <w:jc w:val="center"/>
        <w:rPr>
          <w:rFonts w:ascii="Arial" w:hAnsi="Arial" w:cs="Arial"/>
          <w:b/>
          <w:sz w:val="22"/>
          <w:szCs w:val="22"/>
        </w:rPr>
      </w:pPr>
      <w:r>
        <w:rPr>
          <w:rFonts w:ascii="Arial" w:hAnsi="Arial" w:cs="Arial"/>
          <w:b/>
          <w:sz w:val="22"/>
          <w:szCs w:val="22"/>
        </w:rPr>
        <w:t>Платные услуги населению</w:t>
      </w:r>
    </w:p>
    <w:p w:rsidR="008042AA" w:rsidRDefault="008042AA" w:rsidP="008042AA">
      <w:pPr>
        <w:pStyle w:val="a3"/>
        <w:tabs>
          <w:tab w:val="left" w:pos="708"/>
        </w:tabs>
        <w:spacing w:before="40" w:after="40" w:line="220" w:lineRule="exact"/>
        <w:jc w:val="center"/>
        <w:rPr>
          <w:rFonts w:ascii="Arial" w:hAnsi="Arial" w:cs="Arial"/>
          <w:i/>
          <w:iCs/>
        </w:rPr>
      </w:pPr>
      <w:proofErr w:type="gramStart"/>
      <w:r w:rsidRPr="00F0491C">
        <w:rPr>
          <w:rFonts w:ascii="Arial" w:hAnsi="Arial" w:cs="Arial"/>
          <w:bCs/>
          <w:i/>
          <w:iCs/>
        </w:rPr>
        <w:t>(в % к соответствующему периоду предыдущего года</w:t>
      </w:r>
      <w:r w:rsidRPr="00F0491C">
        <w:rPr>
          <w:rFonts w:ascii="Arial" w:hAnsi="Arial" w:cs="Arial"/>
          <w:i/>
          <w:iCs/>
        </w:rPr>
        <w:t>;</w:t>
      </w:r>
      <w:r>
        <w:rPr>
          <w:rFonts w:ascii="Arial" w:hAnsi="Arial" w:cs="Arial"/>
          <w:i/>
          <w:iCs/>
        </w:rPr>
        <w:t xml:space="preserve"> </w:t>
      </w:r>
      <w:r w:rsidRPr="00F0491C">
        <w:rPr>
          <w:rFonts w:ascii="Arial" w:hAnsi="Arial" w:cs="Arial"/>
          <w:i/>
          <w:iCs/>
        </w:rPr>
        <w:t>в сопоставимых ценах)</w:t>
      </w:r>
      <w:proofErr w:type="gramEnd"/>
    </w:p>
    <w:p w:rsidR="008042AA" w:rsidRDefault="008042AA" w:rsidP="008042AA">
      <w:pPr>
        <w:rPr>
          <w:sz w:val="2"/>
          <w:szCs w:val="2"/>
        </w:rPr>
      </w:pPr>
    </w:p>
    <w:p w:rsidR="008042AA" w:rsidRDefault="00D5652A" w:rsidP="00D5652A">
      <w:pPr>
        <w:pStyle w:val="a3"/>
        <w:tabs>
          <w:tab w:val="left" w:pos="708"/>
        </w:tabs>
        <w:spacing w:before="40" w:after="40"/>
        <w:ind w:left="-284"/>
        <w:rPr>
          <w:rFonts w:ascii="Arial" w:hAnsi="Arial" w:cs="Arial"/>
          <w:bCs/>
          <w:i/>
          <w:iCs/>
        </w:rPr>
      </w:pPr>
      <w:r>
        <w:rPr>
          <w:noProof/>
        </w:rPr>
        <mc:AlternateContent>
          <mc:Choice Requires="wpg">
            <w:drawing>
              <wp:anchor distT="0" distB="0" distL="114300" distR="114300" simplePos="0" relativeHeight="251659264" behindDoc="0" locked="0" layoutInCell="1" allowOverlap="1" wp14:anchorId="154AA028" wp14:editId="6AEECD36">
                <wp:simplePos x="0" y="0"/>
                <wp:positionH relativeFrom="column">
                  <wp:posOffset>1974444</wp:posOffset>
                </wp:positionH>
                <wp:positionV relativeFrom="paragraph">
                  <wp:posOffset>2437130</wp:posOffset>
                </wp:positionV>
                <wp:extent cx="4184294" cy="222885"/>
                <wp:effectExtent l="0" t="0" r="0" b="571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294" cy="222885"/>
                          <a:chOff x="5145" y="5033"/>
                          <a:chExt cx="4991" cy="493"/>
                        </a:xfrm>
                      </wpg:grpSpPr>
                      <wps:wsp>
                        <wps:cNvPr id="3" name="Rectangle 3"/>
                        <wps:cNvSpPr>
                          <a:spLocks noChangeArrowheads="1"/>
                        </wps:cNvSpPr>
                        <wps:spPr bwMode="auto">
                          <a:xfrm flipH="1">
                            <a:off x="5145" y="5039"/>
                            <a:ext cx="1345" cy="4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FFFFFF"/>
                                </a:solidFill>
                                <a:miter lim="800000"/>
                                <a:headEnd/>
                                <a:tailEnd/>
                              </a14:hiddenLine>
                            </a:ext>
                          </a:extLst>
                        </wps:spPr>
                        <wps:txbx>
                          <w:txbxContent>
                            <w:p w:rsidR="008042AA" w:rsidRDefault="008042AA" w:rsidP="008042AA">
                              <w:pPr>
                                <w:autoSpaceDE w:val="0"/>
                                <w:autoSpaceDN w:val="0"/>
                                <w:adjustRightInd w:val="0"/>
                                <w:jc w:val="center"/>
                                <w:rPr>
                                  <w:rFonts w:ascii="Arial" w:hAnsi="Arial" w:cs="Arial"/>
                                  <w:b/>
                                  <w:color w:val="008000"/>
                                  <w:sz w:val="18"/>
                                  <w:szCs w:val="18"/>
                                </w:rPr>
                              </w:pPr>
                              <w:r>
                                <w:rPr>
                                  <w:rFonts w:ascii="Arial" w:hAnsi="Arial" w:cs="Arial"/>
                                  <w:b/>
                                  <w:color w:val="008000"/>
                                  <w:sz w:val="18"/>
                                  <w:szCs w:val="18"/>
                                </w:rPr>
                                <w:t>2021 г.</w:t>
                              </w:r>
                            </w:p>
                          </w:txbxContent>
                        </wps:txbx>
                        <wps:bodyPr rot="0" vert="horz" wrap="square" lIns="91440" tIns="45720" rIns="91440" bIns="45720" anchor="t" anchorCtr="0" upright="1">
                          <a:noAutofit/>
                        </wps:bodyPr>
                      </wps:wsp>
                      <wps:wsp>
                        <wps:cNvPr id="4" name="Rectangle 4"/>
                        <wps:cNvSpPr>
                          <a:spLocks noChangeArrowheads="1"/>
                        </wps:cNvSpPr>
                        <wps:spPr bwMode="auto">
                          <a:xfrm flipH="1">
                            <a:off x="9333" y="5033"/>
                            <a:ext cx="803" cy="4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FFFFFF"/>
                                </a:solidFill>
                                <a:miter lim="800000"/>
                                <a:headEnd/>
                                <a:tailEnd/>
                              </a14:hiddenLine>
                            </a:ext>
                          </a:extLst>
                        </wps:spPr>
                        <wps:txbx>
                          <w:txbxContent>
                            <w:p w:rsidR="008042AA" w:rsidRDefault="008042AA" w:rsidP="008042AA">
                              <w:pPr>
                                <w:autoSpaceDE w:val="0"/>
                                <w:autoSpaceDN w:val="0"/>
                                <w:adjustRightInd w:val="0"/>
                                <w:rPr>
                                  <w:rFonts w:ascii="Arial" w:hAnsi="Arial" w:cs="Arial"/>
                                  <w:b/>
                                  <w:color w:val="FF6600"/>
                                  <w:sz w:val="18"/>
                                  <w:szCs w:val="18"/>
                                </w:rPr>
                              </w:pPr>
                              <w:r>
                                <w:rPr>
                                  <w:rFonts w:ascii="Arial" w:hAnsi="Arial" w:cs="Arial"/>
                                  <w:b/>
                                  <w:color w:val="FF6600"/>
                                  <w:sz w:val="18"/>
                                  <w:szCs w:val="18"/>
                                </w:rPr>
                                <w:t>2022</w:t>
                              </w:r>
                              <w:r>
                                <w:rPr>
                                  <w:rFonts w:ascii="Arial" w:hAnsi="Arial" w:cs="Arial"/>
                                  <w:b/>
                                  <w:color w:val="FF6600"/>
                                  <w:sz w:val="18"/>
                                  <w:szCs w:val="18"/>
                                  <w:lang w:val="en-US"/>
                                </w:rPr>
                                <w:t xml:space="preserve"> г.</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55.45pt;margin-top:191.9pt;width:329.45pt;height:17.55pt;z-index:251659264" coordorigin="5145,5033" coordsize="4991,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">
                <v:rect id="Rectangle 3" o:spid="_x0000_s1027" style="position:absolute;left:5145;top:5039;width:1345;height:48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7HBcUA&#10;AADaAAAADwAAAGRycy9kb3ducmV2LnhtbESP0WrCQBRE3wv9h+UKfSm6SQui0VWKWEgLlhr9gEv2&#10;mg1m78bsVmO/3hUKfRxm5gwzX/a2EWfqfO1YQTpKQBCXTtdcKdjv3ocTED4ga2wck4IreVguHh/m&#10;mGl34S2di1CJCGGfoQITQptJ6UtDFv3ItcTRO7jOYoiyq6Tu8BLhtpEvSTKWFmuOCwZbWhkqj8WP&#10;VfC8PhWbafPx9ZtP08/UfK+vaX5U6mnQv81ABOrDf/ivnWsFr3C/Em+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HscFxQAAANoAAAAPAAAAAAAAAAAAAAAAAJgCAABkcnMv&#10;ZG93bnJldi54bWxQSwUGAAAAAAQABAD1AAAAigMAAAAA&#10;" filled="f" stroked="f" strokecolor="white" strokeweight=".25pt">
                  <v:textbox>
                    <w:txbxContent>
                      <w:p w:rsidR="008042AA" w:rsidRDefault="008042AA" w:rsidP="008042AA">
                        <w:pPr>
                          <w:autoSpaceDE w:val="0"/>
                          <w:autoSpaceDN w:val="0"/>
                          <w:adjustRightInd w:val="0"/>
                          <w:jc w:val="center"/>
                          <w:rPr>
                            <w:rFonts w:ascii="Arial" w:hAnsi="Arial" w:cs="Arial"/>
                            <w:b/>
                            <w:color w:val="008000"/>
                            <w:sz w:val="18"/>
                            <w:szCs w:val="18"/>
                          </w:rPr>
                        </w:pPr>
                        <w:r>
                          <w:rPr>
                            <w:rFonts w:ascii="Arial" w:hAnsi="Arial" w:cs="Arial"/>
                            <w:b/>
                            <w:color w:val="008000"/>
                            <w:sz w:val="18"/>
                            <w:szCs w:val="18"/>
                          </w:rPr>
                          <w:t>2021 г.</w:t>
                        </w:r>
                      </w:p>
                    </w:txbxContent>
                  </v:textbox>
                </v:rect>
                <v:rect id="Rectangle 4" o:spid="_x0000_s1028" style="position:absolute;left:9333;top:5033;width:803;height:48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fccUA&#10;AADaAAAADwAAAGRycy9kb3ducmV2LnhtbESP0WrCQBRE3wv9h+UKfSm6SSmi0VWKWEgLlhr9gEv2&#10;mg1m78bsVmO/3hUKfRxm5gwzX/a2EWfqfO1YQTpKQBCXTtdcKdjv3ocTED4ga2wck4IreVguHh/m&#10;mGl34S2di1CJCGGfoQITQptJ6UtDFv3ItcTRO7jOYoiyq6Tu8BLhtpEvSTKWFmuOCwZbWhkqj8WP&#10;VfC8PhWbafPx9ZtP08/UfK+vaX5U6mnQv81ABOrDf/ivnWsFr3C/Em+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919xxQAAANoAAAAPAAAAAAAAAAAAAAAAAJgCAABkcnMv&#10;ZG93bnJldi54bWxQSwUGAAAAAAQABAD1AAAAigMAAAAA&#10;" filled="f" stroked="f" strokecolor="white" strokeweight=".25pt">
                  <v:textbox>
                    <w:txbxContent>
                      <w:p w:rsidR="008042AA" w:rsidRDefault="008042AA" w:rsidP="008042AA">
                        <w:pPr>
                          <w:autoSpaceDE w:val="0"/>
                          <w:autoSpaceDN w:val="0"/>
                          <w:adjustRightInd w:val="0"/>
                          <w:rPr>
                            <w:rFonts w:ascii="Arial" w:hAnsi="Arial" w:cs="Arial"/>
                            <w:b/>
                            <w:color w:val="FF6600"/>
                            <w:sz w:val="18"/>
                            <w:szCs w:val="18"/>
                          </w:rPr>
                        </w:pPr>
                        <w:r>
                          <w:rPr>
                            <w:rFonts w:ascii="Arial" w:hAnsi="Arial" w:cs="Arial"/>
                            <w:b/>
                            <w:color w:val="FF6600"/>
                            <w:sz w:val="18"/>
                            <w:szCs w:val="18"/>
                          </w:rPr>
                          <w:t>2022</w:t>
                        </w:r>
                        <w:r>
                          <w:rPr>
                            <w:rFonts w:ascii="Arial" w:hAnsi="Arial" w:cs="Arial"/>
                            <w:b/>
                            <w:color w:val="FF6600"/>
                            <w:sz w:val="18"/>
                            <w:szCs w:val="18"/>
                            <w:lang w:val="en-US"/>
                          </w:rPr>
                          <w:t xml:space="preserve"> г.</w:t>
                        </w:r>
                      </w:p>
                    </w:txbxContent>
                  </v:textbox>
                </v:rect>
              </v:group>
            </w:pict>
          </mc:Fallback>
        </mc:AlternateContent>
      </w:r>
      <w:r>
        <w:rPr>
          <w:i/>
          <w:noProof/>
        </w:rPr>
        <w:drawing>
          <wp:inline distT="0" distB="0" distL="0" distR="0" wp14:anchorId="2A2DD997" wp14:editId="3C013492">
            <wp:extent cx="6210604" cy="2633472"/>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20761" w:rsidRDefault="00220761" w:rsidP="00D5652A">
      <w:pPr>
        <w:pStyle w:val="20"/>
        <w:spacing w:before="240" w:after="120" w:line="260" w:lineRule="exact"/>
        <w:ind w:firstLine="0"/>
        <w:jc w:val="center"/>
        <w:rPr>
          <w:rFonts w:ascii="Arial" w:hAnsi="Arial" w:cs="Arial"/>
          <w:b/>
          <w:sz w:val="22"/>
          <w:szCs w:val="22"/>
        </w:rPr>
      </w:pPr>
      <w:r>
        <w:rPr>
          <w:rFonts w:ascii="Arial" w:hAnsi="Arial" w:cs="Arial"/>
          <w:b/>
          <w:sz w:val="22"/>
          <w:szCs w:val="22"/>
        </w:rPr>
        <w:t xml:space="preserve">Объем платных услуг населению </w:t>
      </w:r>
      <w:r>
        <w:rPr>
          <w:rFonts w:ascii="Arial" w:hAnsi="Arial" w:cs="Arial"/>
          <w:b/>
          <w:sz w:val="22"/>
          <w:szCs w:val="22"/>
        </w:rPr>
        <w:br/>
        <w:t xml:space="preserve">по </w:t>
      </w:r>
      <w:r w:rsidRPr="00506304">
        <w:rPr>
          <w:rFonts w:ascii="Arial" w:hAnsi="Arial" w:cs="Arial"/>
          <w:b/>
          <w:sz w:val="22"/>
          <w:szCs w:val="22"/>
        </w:rPr>
        <w:t>област</w:t>
      </w:r>
      <w:r>
        <w:rPr>
          <w:rFonts w:ascii="Arial" w:hAnsi="Arial" w:cs="Arial"/>
          <w:b/>
          <w:sz w:val="22"/>
          <w:szCs w:val="22"/>
        </w:rPr>
        <w:t>ям</w:t>
      </w:r>
      <w:r w:rsidRPr="00506304">
        <w:rPr>
          <w:rFonts w:ascii="Arial" w:hAnsi="Arial" w:cs="Arial"/>
          <w:b/>
          <w:sz w:val="22"/>
          <w:szCs w:val="22"/>
        </w:rPr>
        <w:t xml:space="preserve"> и </w:t>
      </w:r>
      <w:proofErr w:type="spellStart"/>
      <w:r w:rsidRPr="00506304">
        <w:rPr>
          <w:rFonts w:ascii="Arial" w:hAnsi="Arial" w:cs="Arial"/>
          <w:b/>
          <w:sz w:val="22"/>
          <w:szCs w:val="22"/>
        </w:rPr>
        <w:t>г</w:t>
      </w:r>
      <w:proofErr w:type="gramStart"/>
      <w:r w:rsidRPr="00506304">
        <w:rPr>
          <w:rFonts w:ascii="Arial" w:hAnsi="Arial" w:cs="Arial"/>
          <w:b/>
          <w:sz w:val="22"/>
          <w:szCs w:val="22"/>
        </w:rPr>
        <w:t>.М</w:t>
      </w:r>
      <w:proofErr w:type="gramEnd"/>
      <w:r w:rsidRPr="00506304">
        <w:rPr>
          <w:rFonts w:ascii="Arial" w:hAnsi="Arial" w:cs="Arial"/>
          <w:b/>
          <w:sz w:val="22"/>
          <w:szCs w:val="22"/>
        </w:rPr>
        <w:t>инск</w:t>
      </w:r>
      <w:r>
        <w:rPr>
          <w:rFonts w:ascii="Arial" w:hAnsi="Arial" w:cs="Arial"/>
          <w:b/>
          <w:sz w:val="22"/>
          <w:szCs w:val="22"/>
        </w:rPr>
        <w:t>у</w:t>
      </w:r>
      <w:proofErr w:type="spellEnd"/>
    </w:p>
    <w:tbl>
      <w:tblPr>
        <w:tblW w:w="9091" w:type="dxa"/>
        <w:jc w:val="center"/>
        <w:tblInd w:w="61" w:type="dxa"/>
        <w:tblLayout w:type="fixed"/>
        <w:tblCellMar>
          <w:left w:w="70" w:type="dxa"/>
          <w:right w:w="70" w:type="dxa"/>
        </w:tblCellMar>
        <w:tblLook w:val="0000" w:firstRow="0" w:lastRow="0" w:firstColumn="0" w:lastColumn="0" w:noHBand="0" w:noVBand="0"/>
      </w:tblPr>
      <w:tblGrid>
        <w:gridCol w:w="2376"/>
        <w:gridCol w:w="2140"/>
        <w:gridCol w:w="2287"/>
        <w:gridCol w:w="2288"/>
      </w:tblGrid>
      <w:tr w:rsidR="00220761" w:rsidRPr="00113BDF" w:rsidTr="00C85780">
        <w:trPr>
          <w:cantSplit/>
          <w:trHeight w:val="278"/>
          <w:tblHeader/>
          <w:jc w:val="center"/>
        </w:trPr>
        <w:tc>
          <w:tcPr>
            <w:tcW w:w="2376" w:type="dxa"/>
            <w:vMerge w:val="restart"/>
            <w:tcBorders>
              <w:top w:val="single" w:sz="4" w:space="0" w:color="auto"/>
              <w:left w:val="single" w:sz="4" w:space="0" w:color="auto"/>
              <w:bottom w:val="single" w:sz="4" w:space="0" w:color="auto"/>
              <w:right w:val="single" w:sz="4" w:space="0" w:color="auto"/>
            </w:tcBorders>
          </w:tcPr>
          <w:p w:rsidR="00220761" w:rsidRPr="00113BDF" w:rsidRDefault="00220761" w:rsidP="008569E1">
            <w:pPr>
              <w:spacing w:before="20" w:after="20" w:line="200" w:lineRule="exact"/>
              <w:jc w:val="center"/>
              <w:rPr>
                <w:sz w:val="22"/>
                <w:szCs w:val="22"/>
              </w:rPr>
            </w:pPr>
            <w:r w:rsidRPr="00113BDF">
              <w:rPr>
                <w:sz w:val="22"/>
                <w:szCs w:val="22"/>
              </w:rPr>
              <w:br w:type="page"/>
            </w:r>
            <w:r w:rsidRPr="00113BDF">
              <w:rPr>
                <w:sz w:val="22"/>
                <w:szCs w:val="22"/>
              </w:rPr>
              <w:br w:type="page"/>
            </w:r>
          </w:p>
        </w:tc>
        <w:tc>
          <w:tcPr>
            <w:tcW w:w="2140" w:type="dxa"/>
            <w:vMerge w:val="restart"/>
            <w:tcBorders>
              <w:top w:val="single" w:sz="4" w:space="0" w:color="auto"/>
              <w:left w:val="single" w:sz="4" w:space="0" w:color="auto"/>
              <w:bottom w:val="single" w:sz="4" w:space="0" w:color="auto"/>
              <w:right w:val="single" w:sz="4" w:space="0" w:color="auto"/>
            </w:tcBorders>
          </w:tcPr>
          <w:p w:rsidR="00220761" w:rsidRPr="00113BDF" w:rsidRDefault="00B00BA4" w:rsidP="008042AA">
            <w:pPr>
              <w:tabs>
                <w:tab w:val="left" w:pos="1157"/>
              </w:tabs>
              <w:spacing w:before="20" w:after="20" w:line="200" w:lineRule="exact"/>
              <w:jc w:val="center"/>
              <w:rPr>
                <w:b/>
                <w:sz w:val="22"/>
                <w:szCs w:val="22"/>
              </w:rPr>
            </w:pPr>
            <w:r w:rsidRPr="00B00BA4">
              <w:rPr>
                <w:sz w:val="22"/>
                <w:szCs w:val="22"/>
                <w:lang w:val="en-US"/>
              </w:rPr>
              <w:t>I</w:t>
            </w:r>
            <w:r w:rsidRPr="00B00BA4">
              <w:rPr>
                <w:sz w:val="22"/>
                <w:szCs w:val="22"/>
              </w:rPr>
              <w:t xml:space="preserve"> квартал </w:t>
            </w:r>
            <w:r w:rsidR="00220761" w:rsidRPr="00B00BA4">
              <w:rPr>
                <w:sz w:val="22"/>
                <w:szCs w:val="22"/>
              </w:rPr>
              <w:t>20</w:t>
            </w:r>
            <w:r w:rsidR="00CA13F3" w:rsidRPr="00B00BA4">
              <w:rPr>
                <w:sz w:val="22"/>
                <w:szCs w:val="22"/>
              </w:rPr>
              <w:t>2</w:t>
            </w:r>
            <w:r w:rsidR="008042AA">
              <w:rPr>
                <w:sz w:val="22"/>
                <w:szCs w:val="22"/>
              </w:rPr>
              <w:t>2</w:t>
            </w:r>
            <w:r w:rsidR="00220761" w:rsidRPr="00B00BA4">
              <w:rPr>
                <w:sz w:val="22"/>
                <w:szCs w:val="22"/>
              </w:rPr>
              <w:t xml:space="preserve"> </w:t>
            </w:r>
            <w:proofErr w:type="gramStart"/>
            <w:r w:rsidR="00220761" w:rsidRPr="00B00BA4">
              <w:rPr>
                <w:sz w:val="22"/>
                <w:szCs w:val="22"/>
              </w:rPr>
              <w:t>г.,</w:t>
            </w:r>
            <w:proofErr w:type="gramEnd"/>
            <w:r w:rsidR="00220761" w:rsidRPr="00113BDF">
              <w:rPr>
                <w:sz w:val="22"/>
                <w:szCs w:val="22"/>
              </w:rPr>
              <w:t xml:space="preserve"> </w:t>
            </w:r>
            <w:r w:rsidR="00220761" w:rsidRPr="00113BDF">
              <w:rPr>
                <w:sz w:val="22"/>
                <w:szCs w:val="22"/>
              </w:rPr>
              <w:br/>
              <w:t>млн. руб.</w:t>
            </w:r>
            <w:r w:rsidR="00220761" w:rsidRPr="00113BDF">
              <w:rPr>
                <w:sz w:val="22"/>
                <w:szCs w:val="22"/>
              </w:rPr>
              <w:br/>
              <w:t xml:space="preserve">(в текущих </w:t>
            </w:r>
            <w:r w:rsidR="00220761" w:rsidRPr="00113BDF">
              <w:rPr>
                <w:sz w:val="22"/>
                <w:szCs w:val="22"/>
              </w:rPr>
              <w:br/>
              <w:t>ценах)</w:t>
            </w:r>
          </w:p>
        </w:tc>
        <w:tc>
          <w:tcPr>
            <w:tcW w:w="4575" w:type="dxa"/>
            <w:gridSpan w:val="2"/>
            <w:tcBorders>
              <w:top w:val="single" w:sz="4" w:space="0" w:color="auto"/>
              <w:left w:val="single" w:sz="4" w:space="0" w:color="auto"/>
              <w:bottom w:val="single" w:sz="4" w:space="0" w:color="auto"/>
              <w:right w:val="single" w:sz="4" w:space="0" w:color="auto"/>
            </w:tcBorders>
          </w:tcPr>
          <w:p w:rsidR="00220761" w:rsidRPr="00113BDF" w:rsidRDefault="00220761" w:rsidP="008569E1">
            <w:pPr>
              <w:tabs>
                <w:tab w:val="left" w:pos="1157"/>
              </w:tabs>
              <w:spacing w:before="20" w:after="20" w:line="200" w:lineRule="exact"/>
              <w:jc w:val="center"/>
              <w:rPr>
                <w:b/>
                <w:sz w:val="22"/>
                <w:szCs w:val="22"/>
              </w:rPr>
            </w:pPr>
            <w:r w:rsidRPr="00113BDF">
              <w:rPr>
                <w:sz w:val="22"/>
                <w:szCs w:val="22"/>
              </w:rPr>
              <w:t>В сопоставимых ценах</w:t>
            </w:r>
          </w:p>
        </w:tc>
      </w:tr>
      <w:tr w:rsidR="00B00BA4" w:rsidRPr="00113BDF" w:rsidTr="00C85780">
        <w:trPr>
          <w:cantSplit/>
          <w:trHeight w:val="838"/>
          <w:tblHeader/>
          <w:jc w:val="center"/>
        </w:trPr>
        <w:tc>
          <w:tcPr>
            <w:tcW w:w="2376" w:type="dxa"/>
            <w:vMerge/>
            <w:tcBorders>
              <w:top w:val="single" w:sz="4" w:space="0" w:color="auto"/>
              <w:left w:val="single" w:sz="4" w:space="0" w:color="auto"/>
              <w:right w:val="single" w:sz="4" w:space="0" w:color="auto"/>
            </w:tcBorders>
          </w:tcPr>
          <w:p w:rsidR="00B00BA4" w:rsidRPr="00113BDF" w:rsidRDefault="00B00BA4" w:rsidP="00C85780">
            <w:pPr>
              <w:spacing w:before="40" w:after="40" w:line="200" w:lineRule="exact"/>
              <w:jc w:val="center"/>
              <w:rPr>
                <w:sz w:val="22"/>
                <w:szCs w:val="22"/>
              </w:rPr>
            </w:pPr>
          </w:p>
        </w:tc>
        <w:tc>
          <w:tcPr>
            <w:tcW w:w="2140" w:type="dxa"/>
            <w:vMerge/>
            <w:tcBorders>
              <w:top w:val="single" w:sz="4" w:space="0" w:color="auto"/>
              <w:left w:val="single" w:sz="4" w:space="0" w:color="auto"/>
              <w:right w:val="single" w:sz="4" w:space="0" w:color="auto"/>
            </w:tcBorders>
          </w:tcPr>
          <w:p w:rsidR="00B00BA4" w:rsidRPr="00113BDF" w:rsidRDefault="00B00BA4" w:rsidP="00C85780">
            <w:pPr>
              <w:tabs>
                <w:tab w:val="left" w:pos="1157"/>
              </w:tabs>
              <w:spacing w:before="40" w:after="40" w:line="200" w:lineRule="exact"/>
              <w:jc w:val="center"/>
              <w:rPr>
                <w:sz w:val="22"/>
                <w:szCs w:val="22"/>
              </w:rPr>
            </w:pPr>
          </w:p>
        </w:tc>
        <w:tc>
          <w:tcPr>
            <w:tcW w:w="2287" w:type="dxa"/>
            <w:tcBorders>
              <w:top w:val="single" w:sz="4" w:space="0" w:color="auto"/>
              <w:left w:val="single" w:sz="4" w:space="0" w:color="auto"/>
              <w:bottom w:val="single" w:sz="4" w:space="0" w:color="auto"/>
              <w:right w:val="single" w:sz="4" w:space="0" w:color="auto"/>
            </w:tcBorders>
          </w:tcPr>
          <w:p w:rsidR="00B00BA4" w:rsidRPr="00113BDF" w:rsidRDefault="00B00BA4" w:rsidP="00B00BA4">
            <w:pPr>
              <w:tabs>
                <w:tab w:val="left" w:pos="1157"/>
              </w:tabs>
              <w:spacing w:before="60" w:after="60" w:line="200" w:lineRule="exact"/>
              <w:jc w:val="center"/>
              <w:rPr>
                <w:b/>
                <w:sz w:val="22"/>
                <w:szCs w:val="22"/>
              </w:rPr>
            </w:pPr>
            <w:r w:rsidRPr="00B35459">
              <w:rPr>
                <w:sz w:val="22"/>
                <w:szCs w:val="22"/>
              </w:rPr>
              <w:t>I квартал</w:t>
            </w:r>
            <w:r w:rsidRPr="00B35459">
              <w:rPr>
                <w:sz w:val="22"/>
                <w:szCs w:val="22"/>
              </w:rPr>
              <w:br/>
              <w:t>20</w:t>
            </w:r>
            <w:r>
              <w:rPr>
                <w:sz w:val="22"/>
                <w:szCs w:val="22"/>
              </w:rPr>
              <w:t>22</w:t>
            </w:r>
            <w:r w:rsidRPr="00B35459">
              <w:rPr>
                <w:sz w:val="22"/>
                <w:szCs w:val="22"/>
              </w:rPr>
              <w:t xml:space="preserve"> г.</w:t>
            </w:r>
            <w:r w:rsidRPr="00B35459">
              <w:rPr>
                <w:sz w:val="22"/>
                <w:szCs w:val="22"/>
              </w:rPr>
              <w:br/>
            </w:r>
            <w:proofErr w:type="gramStart"/>
            <w:r w:rsidRPr="00B35459">
              <w:rPr>
                <w:sz w:val="22"/>
                <w:szCs w:val="22"/>
              </w:rPr>
              <w:t>в</w:t>
            </w:r>
            <w:proofErr w:type="gramEnd"/>
            <w:r w:rsidRPr="00B35459">
              <w:rPr>
                <w:sz w:val="22"/>
                <w:szCs w:val="22"/>
              </w:rPr>
              <w:t xml:space="preserve"> % к</w:t>
            </w:r>
            <w:r w:rsidRPr="00B35459">
              <w:rPr>
                <w:sz w:val="22"/>
                <w:szCs w:val="22"/>
              </w:rPr>
              <w:br/>
            </w:r>
            <w:r w:rsidRPr="00B35459">
              <w:rPr>
                <w:spacing w:val="-6"/>
                <w:sz w:val="22"/>
                <w:szCs w:val="22"/>
                <w:lang w:val="en-US"/>
              </w:rPr>
              <w:t>I</w:t>
            </w:r>
            <w:r w:rsidRPr="00B35459">
              <w:rPr>
                <w:spacing w:val="-6"/>
                <w:sz w:val="22"/>
                <w:szCs w:val="22"/>
              </w:rPr>
              <w:t xml:space="preserve"> </w:t>
            </w:r>
            <w:proofErr w:type="gramStart"/>
            <w:r w:rsidRPr="00B35459">
              <w:rPr>
                <w:spacing w:val="-6"/>
                <w:sz w:val="22"/>
                <w:szCs w:val="22"/>
              </w:rPr>
              <w:t>квартал</w:t>
            </w:r>
            <w:r>
              <w:rPr>
                <w:spacing w:val="-6"/>
                <w:sz w:val="22"/>
                <w:szCs w:val="22"/>
              </w:rPr>
              <w:t>у</w:t>
            </w:r>
            <w:proofErr w:type="gramEnd"/>
            <w:r w:rsidRPr="00B35459">
              <w:rPr>
                <w:sz w:val="22"/>
                <w:szCs w:val="22"/>
              </w:rPr>
              <w:br/>
              <w:t>20</w:t>
            </w:r>
            <w:r>
              <w:rPr>
                <w:sz w:val="22"/>
                <w:szCs w:val="22"/>
              </w:rPr>
              <w:t>21</w:t>
            </w:r>
            <w:r w:rsidRPr="00B35459">
              <w:rPr>
                <w:sz w:val="22"/>
                <w:szCs w:val="22"/>
              </w:rPr>
              <w:t xml:space="preserve"> г. </w:t>
            </w:r>
            <w:r w:rsidRPr="00B35459">
              <w:rPr>
                <w:sz w:val="22"/>
                <w:szCs w:val="22"/>
              </w:rPr>
              <w:br/>
            </w:r>
          </w:p>
        </w:tc>
        <w:tc>
          <w:tcPr>
            <w:tcW w:w="2288" w:type="dxa"/>
            <w:tcBorders>
              <w:top w:val="single" w:sz="4" w:space="0" w:color="auto"/>
              <w:left w:val="single" w:sz="4" w:space="0" w:color="auto"/>
              <w:bottom w:val="single" w:sz="4" w:space="0" w:color="auto"/>
              <w:right w:val="single" w:sz="4" w:space="0" w:color="auto"/>
            </w:tcBorders>
          </w:tcPr>
          <w:p w:rsidR="00B00BA4" w:rsidRPr="00B35459" w:rsidRDefault="00B00BA4" w:rsidP="00A106D6">
            <w:pPr>
              <w:tabs>
                <w:tab w:val="left" w:pos="1157"/>
              </w:tabs>
              <w:spacing w:before="60" w:after="60" w:line="200" w:lineRule="exact"/>
              <w:jc w:val="center"/>
              <w:rPr>
                <w:sz w:val="22"/>
                <w:szCs w:val="22"/>
                <w:u w:val="single"/>
              </w:rPr>
            </w:pPr>
            <w:r w:rsidRPr="00B35459">
              <w:rPr>
                <w:sz w:val="22"/>
                <w:szCs w:val="22"/>
                <w:u w:val="single"/>
              </w:rPr>
              <w:t>справочно</w:t>
            </w:r>
          </w:p>
          <w:p w:rsidR="00B00BA4" w:rsidRPr="00113BDF" w:rsidRDefault="00B00BA4" w:rsidP="00B00BA4">
            <w:pPr>
              <w:tabs>
                <w:tab w:val="left" w:pos="891"/>
                <w:tab w:val="left" w:pos="1043"/>
              </w:tabs>
              <w:spacing w:before="60" w:after="60" w:line="200" w:lineRule="exact"/>
              <w:jc w:val="center"/>
              <w:rPr>
                <w:sz w:val="22"/>
                <w:szCs w:val="22"/>
              </w:rPr>
            </w:pPr>
            <w:r w:rsidRPr="00B35459">
              <w:rPr>
                <w:sz w:val="22"/>
                <w:szCs w:val="22"/>
              </w:rPr>
              <w:t>I квартал</w:t>
            </w:r>
            <w:r w:rsidRPr="00B35459">
              <w:rPr>
                <w:sz w:val="22"/>
                <w:szCs w:val="22"/>
              </w:rPr>
              <w:br/>
              <w:t>20</w:t>
            </w:r>
            <w:r>
              <w:rPr>
                <w:sz w:val="22"/>
                <w:szCs w:val="22"/>
              </w:rPr>
              <w:t>21</w:t>
            </w:r>
            <w:r w:rsidRPr="00B35459">
              <w:rPr>
                <w:sz w:val="22"/>
                <w:szCs w:val="22"/>
              </w:rPr>
              <w:t xml:space="preserve"> г.</w:t>
            </w:r>
            <w:r w:rsidRPr="00B35459">
              <w:rPr>
                <w:sz w:val="22"/>
                <w:szCs w:val="22"/>
              </w:rPr>
              <w:br/>
            </w:r>
            <w:proofErr w:type="gramStart"/>
            <w:r w:rsidRPr="00B35459">
              <w:rPr>
                <w:sz w:val="22"/>
                <w:szCs w:val="22"/>
              </w:rPr>
              <w:t>в</w:t>
            </w:r>
            <w:proofErr w:type="gramEnd"/>
            <w:r w:rsidRPr="00B35459">
              <w:rPr>
                <w:sz w:val="22"/>
                <w:szCs w:val="22"/>
              </w:rPr>
              <w:t xml:space="preserve"> % к</w:t>
            </w:r>
            <w:r w:rsidRPr="00B35459">
              <w:rPr>
                <w:sz w:val="22"/>
                <w:szCs w:val="22"/>
              </w:rPr>
              <w:br/>
            </w:r>
            <w:r w:rsidRPr="00B35459">
              <w:rPr>
                <w:spacing w:val="-6"/>
                <w:sz w:val="22"/>
                <w:szCs w:val="22"/>
                <w:lang w:val="en-US"/>
              </w:rPr>
              <w:t>I</w:t>
            </w:r>
            <w:r w:rsidRPr="00B35459">
              <w:rPr>
                <w:spacing w:val="-6"/>
                <w:sz w:val="22"/>
                <w:szCs w:val="22"/>
              </w:rPr>
              <w:t xml:space="preserve"> </w:t>
            </w:r>
            <w:proofErr w:type="gramStart"/>
            <w:r w:rsidRPr="00B35459">
              <w:rPr>
                <w:spacing w:val="-6"/>
                <w:sz w:val="22"/>
                <w:szCs w:val="22"/>
              </w:rPr>
              <w:t>квартал</w:t>
            </w:r>
            <w:r>
              <w:rPr>
                <w:spacing w:val="-6"/>
                <w:sz w:val="22"/>
                <w:szCs w:val="22"/>
              </w:rPr>
              <w:t>у</w:t>
            </w:r>
            <w:proofErr w:type="gramEnd"/>
            <w:r w:rsidRPr="00B35459">
              <w:rPr>
                <w:sz w:val="22"/>
                <w:szCs w:val="22"/>
              </w:rPr>
              <w:br/>
              <w:t>20</w:t>
            </w:r>
            <w:r>
              <w:rPr>
                <w:sz w:val="22"/>
                <w:szCs w:val="22"/>
              </w:rPr>
              <w:t>20</w:t>
            </w:r>
            <w:r w:rsidRPr="00B35459">
              <w:rPr>
                <w:sz w:val="22"/>
                <w:szCs w:val="22"/>
              </w:rPr>
              <w:t xml:space="preserve"> г.</w:t>
            </w:r>
          </w:p>
        </w:tc>
      </w:tr>
      <w:tr w:rsidR="008042AA" w:rsidRPr="00113BDF" w:rsidTr="008C25D3">
        <w:trPr>
          <w:jc w:val="center"/>
        </w:trPr>
        <w:tc>
          <w:tcPr>
            <w:tcW w:w="2376" w:type="dxa"/>
            <w:tcBorders>
              <w:top w:val="single" w:sz="4" w:space="0" w:color="auto"/>
              <w:left w:val="single" w:sz="4" w:space="0" w:color="auto"/>
              <w:right w:val="single" w:sz="4" w:space="0" w:color="auto"/>
            </w:tcBorders>
            <w:vAlign w:val="bottom"/>
          </w:tcPr>
          <w:p w:rsidR="008042AA" w:rsidRPr="00113BDF" w:rsidRDefault="008042AA" w:rsidP="00A37694">
            <w:pPr>
              <w:spacing w:before="60" w:after="60" w:line="220" w:lineRule="exact"/>
              <w:ind w:left="-57" w:right="-70"/>
              <w:rPr>
                <w:b/>
                <w:sz w:val="22"/>
                <w:szCs w:val="22"/>
              </w:rPr>
            </w:pPr>
            <w:r w:rsidRPr="00113BDF">
              <w:rPr>
                <w:b/>
                <w:sz w:val="22"/>
                <w:szCs w:val="22"/>
              </w:rPr>
              <w:t>Республика Беларусь</w:t>
            </w:r>
          </w:p>
        </w:tc>
        <w:tc>
          <w:tcPr>
            <w:tcW w:w="2140" w:type="dxa"/>
            <w:tcBorders>
              <w:top w:val="single" w:sz="4" w:space="0" w:color="auto"/>
              <w:left w:val="single" w:sz="4" w:space="0" w:color="auto"/>
              <w:right w:val="single" w:sz="4" w:space="0" w:color="auto"/>
            </w:tcBorders>
            <w:vAlign w:val="bottom"/>
          </w:tcPr>
          <w:p w:rsidR="008042AA" w:rsidRPr="00A432BC" w:rsidRDefault="008042AA" w:rsidP="00A37694">
            <w:pPr>
              <w:widowControl w:val="0"/>
              <w:autoSpaceDE w:val="0"/>
              <w:autoSpaceDN w:val="0"/>
              <w:adjustRightInd w:val="0"/>
              <w:spacing w:before="60" w:after="60" w:line="220" w:lineRule="exact"/>
              <w:ind w:right="737"/>
              <w:jc w:val="right"/>
              <w:rPr>
                <w:b/>
                <w:sz w:val="22"/>
                <w:szCs w:val="22"/>
                <w:highlight w:val="yellow"/>
              </w:rPr>
            </w:pPr>
            <w:r>
              <w:rPr>
                <w:b/>
                <w:sz w:val="22"/>
                <w:szCs w:val="22"/>
              </w:rPr>
              <w:t>4 080,2</w:t>
            </w:r>
          </w:p>
        </w:tc>
        <w:tc>
          <w:tcPr>
            <w:tcW w:w="2287" w:type="dxa"/>
            <w:tcBorders>
              <w:top w:val="single" w:sz="4" w:space="0" w:color="auto"/>
              <w:left w:val="single" w:sz="4" w:space="0" w:color="auto"/>
              <w:right w:val="single" w:sz="4" w:space="0" w:color="auto"/>
            </w:tcBorders>
            <w:vAlign w:val="bottom"/>
          </w:tcPr>
          <w:p w:rsidR="008042AA" w:rsidRPr="00BF4680" w:rsidRDefault="008042AA" w:rsidP="00F90B97">
            <w:pPr>
              <w:widowControl w:val="0"/>
              <w:autoSpaceDE w:val="0"/>
              <w:autoSpaceDN w:val="0"/>
              <w:adjustRightInd w:val="0"/>
              <w:spacing w:before="60" w:after="60" w:line="220" w:lineRule="exact"/>
              <w:ind w:right="794"/>
              <w:jc w:val="right"/>
              <w:rPr>
                <w:b/>
                <w:sz w:val="22"/>
                <w:szCs w:val="22"/>
              </w:rPr>
            </w:pPr>
            <w:r>
              <w:rPr>
                <w:b/>
                <w:sz w:val="22"/>
                <w:szCs w:val="22"/>
              </w:rPr>
              <w:t>104,2</w:t>
            </w:r>
          </w:p>
        </w:tc>
        <w:tc>
          <w:tcPr>
            <w:tcW w:w="2288" w:type="dxa"/>
            <w:tcBorders>
              <w:top w:val="single" w:sz="4" w:space="0" w:color="auto"/>
              <w:left w:val="single" w:sz="4" w:space="0" w:color="auto"/>
              <w:right w:val="single" w:sz="4" w:space="0" w:color="auto"/>
            </w:tcBorders>
          </w:tcPr>
          <w:p w:rsidR="008042AA" w:rsidRPr="008042AA" w:rsidRDefault="008042AA" w:rsidP="00F90B97">
            <w:pPr>
              <w:widowControl w:val="0"/>
              <w:autoSpaceDE w:val="0"/>
              <w:autoSpaceDN w:val="0"/>
              <w:adjustRightInd w:val="0"/>
              <w:spacing w:before="60" w:after="60" w:line="220" w:lineRule="exact"/>
              <w:ind w:right="794"/>
              <w:jc w:val="right"/>
              <w:rPr>
                <w:b/>
                <w:sz w:val="22"/>
                <w:szCs w:val="22"/>
              </w:rPr>
            </w:pPr>
            <w:r w:rsidRPr="008042AA">
              <w:rPr>
                <w:b/>
                <w:sz w:val="22"/>
                <w:szCs w:val="22"/>
              </w:rPr>
              <w:t>99,5</w:t>
            </w:r>
          </w:p>
        </w:tc>
      </w:tr>
      <w:tr w:rsidR="008042AA" w:rsidRPr="00113BDF" w:rsidTr="008C25D3">
        <w:trPr>
          <w:jc w:val="center"/>
        </w:trPr>
        <w:tc>
          <w:tcPr>
            <w:tcW w:w="2376" w:type="dxa"/>
            <w:tcBorders>
              <w:left w:val="single" w:sz="4" w:space="0" w:color="auto"/>
              <w:right w:val="single" w:sz="4" w:space="0" w:color="auto"/>
            </w:tcBorders>
            <w:vAlign w:val="bottom"/>
          </w:tcPr>
          <w:p w:rsidR="008042AA" w:rsidRPr="00113BDF" w:rsidRDefault="00D5652A" w:rsidP="00A37694">
            <w:pPr>
              <w:spacing w:before="60" w:after="60" w:line="220" w:lineRule="exact"/>
              <w:ind w:left="425" w:right="57"/>
              <w:rPr>
                <w:spacing w:val="-6"/>
                <w:sz w:val="22"/>
                <w:szCs w:val="22"/>
              </w:rPr>
            </w:pPr>
            <w:r>
              <w:rPr>
                <w:spacing w:val="-6"/>
                <w:sz w:val="22"/>
                <w:szCs w:val="22"/>
              </w:rPr>
              <w:t>О</w:t>
            </w:r>
            <w:r w:rsidR="008042AA" w:rsidRPr="00113BDF">
              <w:rPr>
                <w:spacing w:val="-6"/>
                <w:sz w:val="22"/>
                <w:szCs w:val="22"/>
              </w:rPr>
              <w:t xml:space="preserve">бласти и </w:t>
            </w:r>
            <w:proofErr w:type="spellStart"/>
            <w:r w:rsidR="008042AA" w:rsidRPr="00113BDF">
              <w:rPr>
                <w:spacing w:val="-6"/>
                <w:sz w:val="22"/>
                <w:szCs w:val="22"/>
              </w:rPr>
              <w:t>г</w:t>
            </w:r>
            <w:proofErr w:type="gramStart"/>
            <w:r w:rsidR="008042AA" w:rsidRPr="00113BDF">
              <w:rPr>
                <w:spacing w:val="-6"/>
                <w:sz w:val="22"/>
                <w:szCs w:val="22"/>
              </w:rPr>
              <w:t>.М</w:t>
            </w:r>
            <w:proofErr w:type="gramEnd"/>
            <w:r w:rsidR="008042AA" w:rsidRPr="00113BDF">
              <w:rPr>
                <w:spacing w:val="-6"/>
                <w:sz w:val="22"/>
                <w:szCs w:val="22"/>
              </w:rPr>
              <w:t>инск</w:t>
            </w:r>
            <w:proofErr w:type="spellEnd"/>
            <w:r w:rsidR="008042AA" w:rsidRPr="00113BDF">
              <w:rPr>
                <w:spacing w:val="-6"/>
                <w:sz w:val="22"/>
                <w:szCs w:val="22"/>
              </w:rPr>
              <w:t>:</w:t>
            </w:r>
          </w:p>
        </w:tc>
        <w:tc>
          <w:tcPr>
            <w:tcW w:w="2140" w:type="dxa"/>
            <w:tcBorders>
              <w:left w:val="single" w:sz="4" w:space="0" w:color="auto"/>
              <w:right w:val="single" w:sz="4" w:space="0" w:color="auto"/>
            </w:tcBorders>
            <w:vAlign w:val="bottom"/>
          </w:tcPr>
          <w:p w:rsidR="008042AA" w:rsidRPr="00A432BC" w:rsidRDefault="008042AA" w:rsidP="00A37694">
            <w:pPr>
              <w:widowControl w:val="0"/>
              <w:autoSpaceDE w:val="0"/>
              <w:autoSpaceDN w:val="0"/>
              <w:adjustRightInd w:val="0"/>
              <w:spacing w:before="60" w:after="60" w:line="220" w:lineRule="exact"/>
              <w:ind w:right="737"/>
              <w:jc w:val="right"/>
              <w:rPr>
                <w:sz w:val="22"/>
                <w:szCs w:val="22"/>
                <w:highlight w:val="yellow"/>
              </w:rPr>
            </w:pPr>
          </w:p>
        </w:tc>
        <w:tc>
          <w:tcPr>
            <w:tcW w:w="2287" w:type="dxa"/>
            <w:tcBorders>
              <w:left w:val="single" w:sz="4" w:space="0" w:color="auto"/>
              <w:right w:val="single" w:sz="4" w:space="0" w:color="auto"/>
            </w:tcBorders>
            <w:vAlign w:val="bottom"/>
          </w:tcPr>
          <w:p w:rsidR="008042AA" w:rsidRPr="00EB5495" w:rsidRDefault="008042AA" w:rsidP="00F90B97">
            <w:pPr>
              <w:widowControl w:val="0"/>
              <w:autoSpaceDE w:val="0"/>
              <w:autoSpaceDN w:val="0"/>
              <w:adjustRightInd w:val="0"/>
              <w:spacing w:before="60" w:after="60" w:line="220" w:lineRule="exact"/>
              <w:ind w:right="794"/>
              <w:jc w:val="right"/>
              <w:rPr>
                <w:sz w:val="22"/>
                <w:szCs w:val="22"/>
              </w:rPr>
            </w:pPr>
          </w:p>
        </w:tc>
        <w:tc>
          <w:tcPr>
            <w:tcW w:w="2288" w:type="dxa"/>
            <w:tcBorders>
              <w:left w:val="single" w:sz="4" w:space="0" w:color="auto"/>
              <w:right w:val="single" w:sz="4" w:space="0" w:color="auto"/>
            </w:tcBorders>
          </w:tcPr>
          <w:p w:rsidR="008042AA" w:rsidRPr="008D4BD0" w:rsidRDefault="008042AA" w:rsidP="00F90B97">
            <w:pPr>
              <w:spacing w:before="60" w:after="60" w:line="220" w:lineRule="exact"/>
              <w:ind w:right="794"/>
            </w:pPr>
          </w:p>
        </w:tc>
      </w:tr>
      <w:tr w:rsidR="008042AA" w:rsidRPr="00113BDF" w:rsidTr="008C25D3">
        <w:trPr>
          <w:jc w:val="center"/>
        </w:trPr>
        <w:tc>
          <w:tcPr>
            <w:tcW w:w="2376" w:type="dxa"/>
            <w:tcBorders>
              <w:left w:val="single" w:sz="4" w:space="0" w:color="auto"/>
              <w:right w:val="single" w:sz="4" w:space="0" w:color="auto"/>
            </w:tcBorders>
            <w:vAlign w:val="bottom"/>
          </w:tcPr>
          <w:p w:rsidR="008042AA" w:rsidRPr="00113BDF" w:rsidRDefault="008042AA" w:rsidP="00A37694">
            <w:pPr>
              <w:spacing w:before="60" w:after="60" w:line="220" w:lineRule="exact"/>
              <w:ind w:left="284" w:right="57"/>
              <w:rPr>
                <w:sz w:val="22"/>
                <w:szCs w:val="22"/>
              </w:rPr>
            </w:pPr>
            <w:r w:rsidRPr="00113BDF">
              <w:rPr>
                <w:sz w:val="22"/>
                <w:szCs w:val="22"/>
              </w:rPr>
              <w:t>Брестская</w:t>
            </w:r>
          </w:p>
        </w:tc>
        <w:tc>
          <w:tcPr>
            <w:tcW w:w="2140" w:type="dxa"/>
            <w:tcBorders>
              <w:left w:val="single" w:sz="4" w:space="0" w:color="auto"/>
              <w:right w:val="single" w:sz="4" w:space="0" w:color="auto"/>
            </w:tcBorders>
            <w:vAlign w:val="bottom"/>
          </w:tcPr>
          <w:p w:rsidR="008042AA" w:rsidRPr="00A432BC" w:rsidRDefault="008042AA" w:rsidP="00A37694">
            <w:pPr>
              <w:widowControl w:val="0"/>
              <w:autoSpaceDE w:val="0"/>
              <w:autoSpaceDN w:val="0"/>
              <w:adjustRightInd w:val="0"/>
              <w:spacing w:before="60" w:after="60" w:line="220" w:lineRule="exact"/>
              <w:ind w:right="737"/>
              <w:jc w:val="right"/>
              <w:rPr>
                <w:sz w:val="22"/>
                <w:szCs w:val="22"/>
                <w:highlight w:val="yellow"/>
              </w:rPr>
            </w:pPr>
            <w:r>
              <w:rPr>
                <w:sz w:val="22"/>
                <w:szCs w:val="22"/>
              </w:rPr>
              <w:t>374,2</w:t>
            </w:r>
          </w:p>
        </w:tc>
        <w:tc>
          <w:tcPr>
            <w:tcW w:w="2287" w:type="dxa"/>
            <w:tcBorders>
              <w:left w:val="single" w:sz="4" w:space="0" w:color="auto"/>
              <w:right w:val="single" w:sz="4" w:space="0" w:color="auto"/>
            </w:tcBorders>
            <w:vAlign w:val="bottom"/>
          </w:tcPr>
          <w:p w:rsidR="008042AA" w:rsidRPr="00EB5495" w:rsidRDefault="008042AA" w:rsidP="00F90B97">
            <w:pPr>
              <w:widowControl w:val="0"/>
              <w:autoSpaceDE w:val="0"/>
              <w:autoSpaceDN w:val="0"/>
              <w:adjustRightInd w:val="0"/>
              <w:spacing w:before="60" w:after="60" w:line="220" w:lineRule="exact"/>
              <w:ind w:right="794"/>
              <w:jc w:val="right"/>
              <w:rPr>
                <w:sz w:val="22"/>
                <w:szCs w:val="22"/>
              </w:rPr>
            </w:pPr>
            <w:r>
              <w:rPr>
                <w:sz w:val="22"/>
                <w:szCs w:val="22"/>
              </w:rPr>
              <w:t>102,8</w:t>
            </w:r>
          </w:p>
        </w:tc>
        <w:tc>
          <w:tcPr>
            <w:tcW w:w="2288" w:type="dxa"/>
            <w:tcBorders>
              <w:left w:val="single" w:sz="4" w:space="0" w:color="auto"/>
              <w:right w:val="single" w:sz="4" w:space="0" w:color="auto"/>
            </w:tcBorders>
          </w:tcPr>
          <w:p w:rsidR="008042AA" w:rsidRPr="008042AA" w:rsidRDefault="008042AA" w:rsidP="00F90B97">
            <w:pPr>
              <w:widowControl w:val="0"/>
              <w:autoSpaceDE w:val="0"/>
              <w:autoSpaceDN w:val="0"/>
              <w:adjustRightInd w:val="0"/>
              <w:spacing w:before="60" w:after="60" w:line="220" w:lineRule="exact"/>
              <w:ind w:right="794"/>
              <w:jc w:val="right"/>
              <w:rPr>
                <w:sz w:val="22"/>
                <w:szCs w:val="22"/>
              </w:rPr>
            </w:pPr>
            <w:r w:rsidRPr="008042AA">
              <w:rPr>
                <w:sz w:val="22"/>
                <w:szCs w:val="22"/>
              </w:rPr>
              <w:t>99,0</w:t>
            </w:r>
          </w:p>
        </w:tc>
      </w:tr>
      <w:tr w:rsidR="008042AA" w:rsidRPr="00113BDF" w:rsidTr="008C25D3">
        <w:trPr>
          <w:jc w:val="center"/>
        </w:trPr>
        <w:tc>
          <w:tcPr>
            <w:tcW w:w="2376" w:type="dxa"/>
            <w:tcBorders>
              <w:left w:val="single" w:sz="4" w:space="0" w:color="auto"/>
              <w:right w:val="single" w:sz="4" w:space="0" w:color="auto"/>
            </w:tcBorders>
            <w:vAlign w:val="bottom"/>
          </w:tcPr>
          <w:p w:rsidR="008042AA" w:rsidRPr="00113BDF" w:rsidRDefault="008042AA" w:rsidP="00A37694">
            <w:pPr>
              <w:spacing w:before="60" w:after="60" w:line="220" w:lineRule="exact"/>
              <w:ind w:left="284" w:right="57"/>
              <w:rPr>
                <w:sz w:val="22"/>
                <w:szCs w:val="22"/>
              </w:rPr>
            </w:pPr>
            <w:r w:rsidRPr="00113BDF">
              <w:rPr>
                <w:sz w:val="22"/>
                <w:szCs w:val="22"/>
              </w:rPr>
              <w:t>Витебская</w:t>
            </w:r>
          </w:p>
        </w:tc>
        <w:tc>
          <w:tcPr>
            <w:tcW w:w="2140" w:type="dxa"/>
            <w:tcBorders>
              <w:left w:val="single" w:sz="4" w:space="0" w:color="auto"/>
              <w:right w:val="single" w:sz="4" w:space="0" w:color="auto"/>
            </w:tcBorders>
            <w:vAlign w:val="bottom"/>
          </w:tcPr>
          <w:p w:rsidR="008042AA" w:rsidRPr="00A432BC" w:rsidRDefault="008042AA" w:rsidP="00A37694">
            <w:pPr>
              <w:widowControl w:val="0"/>
              <w:autoSpaceDE w:val="0"/>
              <w:autoSpaceDN w:val="0"/>
              <w:adjustRightInd w:val="0"/>
              <w:spacing w:before="60" w:after="60" w:line="220" w:lineRule="exact"/>
              <w:ind w:right="737"/>
              <w:jc w:val="right"/>
              <w:rPr>
                <w:sz w:val="22"/>
                <w:szCs w:val="22"/>
                <w:highlight w:val="yellow"/>
              </w:rPr>
            </w:pPr>
            <w:r>
              <w:rPr>
                <w:sz w:val="22"/>
                <w:szCs w:val="22"/>
              </w:rPr>
              <w:t>335,1</w:t>
            </w:r>
          </w:p>
        </w:tc>
        <w:tc>
          <w:tcPr>
            <w:tcW w:w="2287" w:type="dxa"/>
            <w:tcBorders>
              <w:left w:val="single" w:sz="4" w:space="0" w:color="auto"/>
              <w:right w:val="single" w:sz="4" w:space="0" w:color="auto"/>
            </w:tcBorders>
            <w:vAlign w:val="bottom"/>
          </w:tcPr>
          <w:p w:rsidR="008042AA" w:rsidRPr="00EB5495" w:rsidRDefault="008042AA" w:rsidP="00F90B97">
            <w:pPr>
              <w:widowControl w:val="0"/>
              <w:autoSpaceDE w:val="0"/>
              <w:autoSpaceDN w:val="0"/>
              <w:adjustRightInd w:val="0"/>
              <w:spacing w:before="60" w:after="60" w:line="220" w:lineRule="exact"/>
              <w:ind w:right="794"/>
              <w:jc w:val="right"/>
              <w:rPr>
                <w:sz w:val="22"/>
                <w:szCs w:val="22"/>
              </w:rPr>
            </w:pPr>
            <w:r>
              <w:rPr>
                <w:sz w:val="22"/>
                <w:szCs w:val="22"/>
              </w:rPr>
              <w:t>103,6</w:t>
            </w:r>
          </w:p>
        </w:tc>
        <w:tc>
          <w:tcPr>
            <w:tcW w:w="2288" w:type="dxa"/>
            <w:tcBorders>
              <w:left w:val="single" w:sz="4" w:space="0" w:color="auto"/>
              <w:right w:val="single" w:sz="4" w:space="0" w:color="auto"/>
            </w:tcBorders>
          </w:tcPr>
          <w:p w:rsidR="008042AA" w:rsidRPr="008042AA" w:rsidRDefault="008042AA" w:rsidP="00F90B97">
            <w:pPr>
              <w:widowControl w:val="0"/>
              <w:autoSpaceDE w:val="0"/>
              <w:autoSpaceDN w:val="0"/>
              <w:adjustRightInd w:val="0"/>
              <w:spacing w:before="60" w:after="60" w:line="220" w:lineRule="exact"/>
              <w:ind w:right="794"/>
              <w:jc w:val="right"/>
              <w:rPr>
                <w:sz w:val="22"/>
                <w:szCs w:val="22"/>
              </w:rPr>
            </w:pPr>
            <w:r w:rsidRPr="008042AA">
              <w:rPr>
                <w:sz w:val="22"/>
                <w:szCs w:val="22"/>
              </w:rPr>
              <w:t>99,8</w:t>
            </w:r>
          </w:p>
        </w:tc>
      </w:tr>
      <w:tr w:rsidR="008042AA" w:rsidRPr="00113BDF" w:rsidTr="008C25D3">
        <w:trPr>
          <w:jc w:val="center"/>
        </w:trPr>
        <w:tc>
          <w:tcPr>
            <w:tcW w:w="2376" w:type="dxa"/>
            <w:tcBorders>
              <w:left w:val="single" w:sz="4" w:space="0" w:color="auto"/>
              <w:right w:val="single" w:sz="4" w:space="0" w:color="auto"/>
            </w:tcBorders>
            <w:vAlign w:val="bottom"/>
          </w:tcPr>
          <w:p w:rsidR="008042AA" w:rsidRPr="00113BDF" w:rsidRDefault="008042AA" w:rsidP="00A37694">
            <w:pPr>
              <w:spacing w:before="60" w:after="60" w:line="220" w:lineRule="exact"/>
              <w:ind w:left="284" w:right="57"/>
              <w:rPr>
                <w:sz w:val="22"/>
                <w:szCs w:val="22"/>
              </w:rPr>
            </w:pPr>
            <w:r w:rsidRPr="00113BDF">
              <w:rPr>
                <w:sz w:val="22"/>
                <w:szCs w:val="22"/>
              </w:rPr>
              <w:t>Гомельская</w:t>
            </w:r>
          </w:p>
        </w:tc>
        <w:tc>
          <w:tcPr>
            <w:tcW w:w="2140" w:type="dxa"/>
            <w:tcBorders>
              <w:left w:val="single" w:sz="4" w:space="0" w:color="auto"/>
              <w:right w:val="single" w:sz="4" w:space="0" w:color="auto"/>
            </w:tcBorders>
            <w:vAlign w:val="bottom"/>
          </w:tcPr>
          <w:p w:rsidR="008042AA" w:rsidRPr="00A432BC" w:rsidRDefault="008042AA" w:rsidP="00A37694">
            <w:pPr>
              <w:widowControl w:val="0"/>
              <w:autoSpaceDE w:val="0"/>
              <w:autoSpaceDN w:val="0"/>
              <w:adjustRightInd w:val="0"/>
              <w:spacing w:before="60" w:after="60" w:line="220" w:lineRule="exact"/>
              <w:ind w:right="737"/>
              <w:jc w:val="right"/>
              <w:rPr>
                <w:sz w:val="22"/>
                <w:szCs w:val="22"/>
                <w:highlight w:val="yellow"/>
              </w:rPr>
            </w:pPr>
            <w:r>
              <w:rPr>
                <w:sz w:val="22"/>
                <w:szCs w:val="22"/>
              </w:rPr>
              <w:t>374,9</w:t>
            </w:r>
          </w:p>
        </w:tc>
        <w:tc>
          <w:tcPr>
            <w:tcW w:w="2287" w:type="dxa"/>
            <w:tcBorders>
              <w:left w:val="single" w:sz="4" w:space="0" w:color="auto"/>
              <w:right w:val="single" w:sz="4" w:space="0" w:color="auto"/>
            </w:tcBorders>
            <w:vAlign w:val="bottom"/>
          </w:tcPr>
          <w:p w:rsidR="008042AA" w:rsidRPr="00EB5495" w:rsidRDefault="008042AA" w:rsidP="00F90B97">
            <w:pPr>
              <w:widowControl w:val="0"/>
              <w:autoSpaceDE w:val="0"/>
              <w:autoSpaceDN w:val="0"/>
              <w:adjustRightInd w:val="0"/>
              <w:spacing w:before="60" w:after="60" w:line="220" w:lineRule="exact"/>
              <w:ind w:right="794"/>
              <w:jc w:val="right"/>
              <w:rPr>
                <w:sz w:val="22"/>
                <w:szCs w:val="22"/>
              </w:rPr>
            </w:pPr>
            <w:r>
              <w:rPr>
                <w:sz w:val="22"/>
                <w:szCs w:val="22"/>
              </w:rPr>
              <w:t>103,1</w:t>
            </w:r>
          </w:p>
        </w:tc>
        <w:tc>
          <w:tcPr>
            <w:tcW w:w="2288" w:type="dxa"/>
            <w:tcBorders>
              <w:left w:val="single" w:sz="4" w:space="0" w:color="auto"/>
              <w:right w:val="single" w:sz="4" w:space="0" w:color="auto"/>
            </w:tcBorders>
          </w:tcPr>
          <w:p w:rsidR="008042AA" w:rsidRPr="008042AA" w:rsidRDefault="008042AA" w:rsidP="00F90B97">
            <w:pPr>
              <w:widowControl w:val="0"/>
              <w:autoSpaceDE w:val="0"/>
              <w:autoSpaceDN w:val="0"/>
              <w:adjustRightInd w:val="0"/>
              <w:spacing w:before="60" w:after="60" w:line="220" w:lineRule="exact"/>
              <w:ind w:right="794"/>
              <w:jc w:val="right"/>
              <w:rPr>
                <w:sz w:val="22"/>
                <w:szCs w:val="22"/>
              </w:rPr>
            </w:pPr>
            <w:r w:rsidRPr="008042AA">
              <w:rPr>
                <w:sz w:val="22"/>
                <w:szCs w:val="22"/>
              </w:rPr>
              <w:t>99,3</w:t>
            </w:r>
          </w:p>
        </w:tc>
      </w:tr>
      <w:tr w:rsidR="008042AA" w:rsidRPr="00113BDF" w:rsidTr="008C25D3">
        <w:trPr>
          <w:jc w:val="center"/>
        </w:trPr>
        <w:tc>
          <w:tcPr>
            <w:tcW w:w="2376" w:type="dxa"/>
            <w:tcBorders>
              <w:left w:val="single" w:sz="4" w:space="0" w:color="auto"/>
              <w:right w:val="single" w:sz="4" w:space="0" w:color="auto"/>
            </w:tcBorders>
            <w:vAlign w:val="bottom"/>
          </w:tcPr>
          <w:p w:rsidR="008042AA" w:rsidRPr="00113BDF" w:rsidRDefault="008042AA" w:rsidP="00A37694">
            <w:pPr>
              <w:spacing w:before="60" w:after="60" w:line="220" w:lineRule="exact"/>
              <w:ind w:left="284" w:right="57"/>
              <w:rPr>
                <w:sz w:val="22"/>
                <w:szCs w:val="22"/>
              </w:rPr>
            </w:pPr>
            <w:r w:rsidRPr="00113BDF">
              <w:rPr>
                <w:sz w:val="22"/>
                <w:szCs w:val="22"/>
              </w:rPr>
              <w:t>Гродненская</w:t>
            </w:r>
          </w:p>
        </w:tc>
        <w:tc>
          <w:tcPr>
            <w:tcW w:w="2140" w:type="dxa"/>
            <w:tcBorders>
              <w:left w:val="single" w:sz="4" w:space="0" w:color="auto"/>
              <w:right w:val="single" w:sz="4" w:space="0" w:color="auto"/>
            </w:tcBorders>
            <w:vAlign w:val="bottom"/>
          </w:tcPr>
          <w:p w:rsidR="008042AA" w:rsidRPr="00A432BC" w:rsidRDefault="008042AA" w:rsidP="00A37694">
            <w:pPr>
              <w:widowControl w:val="0"/>
              <w:autoSpaceDE w:val="0"/>
              <w:autoSpaceDN w:val="0"/>
              <w:adjustRightInd w:val="0"/>
              <w:spacing w:before="60" w:after="60" w:line="220" w:lineRule="exact"/>
              <w:ind w:right="737"/>
              <w:jc w:val="right"/>
              <w:rPr>
                <w:sz w:val="22"/>
                <w:szCs w:val="22"/>
                <w:highlight w:val="yellow"/>
              </w:rPr>
            </w:pPr>
            <w:r>
              <w:rPr>
                <w:sz w:val="22"/>
                <w:szCs w:val="22"/>
              </w:rPr>
              <w:t>299,1</w:t>
            </w:r>
          </w:p>
        </w:tc>
        <w:tc>
          <w:tcPr>
            <w:tcW w:w="2287" w:type="dxa"/>
            <w:tcBorders>
              <w:left w:val="single" w:sz="4" w:space="0" w:color="auto"/>
              <w:right w:val="single" w:sz="4" w:space="0" w:color="auto"/>
            </w:tcBorders>
            <w:vAlign w:val="bottom"/>
          </w:tcPr>
          <w:p w:rsidR="008042AA" w:rsidRPr="00EB5495" w:rsidRDefault="008042AA" w:rsidP="00F90B97">
            <w:pPr>
              <w:widowControl w:val="0"/>
              <w:autoSpaceDE w:val="0"/>
              <w:autoSpaceDN w:val="0"/>
              <w:adjustRightInd w:val="0"/>
              <w:spacing w:before="60" w:after="60" w:line="220" w:lineRule="exact"/>
              <w:ind w:right="794"/>
              <w:jc w:val="right"/>
              <w:rPr>
                <w:sz w:val="22"/>
                <w:szCs w:val="22"/>
              </w:rPr>
            </w:pPr>
            <w:r>
              <w:rPr>
                <w:sz w:val="22"/>
                <w:szCs w:val="22"/>
              </w:rPr>
              <w:t>105,1</w:t>
            </w:r>
          </w:p>
        </w:tc>
        <w:tc>
          <w:tcPr>
            <w:tcW w:w="2288" w:type="dxa"/>
            <w:tcBorders>
              <w:left w:val="single" w:sz="4" w:space="0" w:color="auto"/>
              <w:right w:val="single" w:sz="4" w:space="0" w:color="auto"/>
            </w:tcBorders>
          </w:tcPr>
          <w:p w:rsidR="008042AA" w:rsidRPr="008042AA" w:rsidRDefault="008042AA" w:rsidP="00F90B97">
            <w:pPr>
              <w:widowControl w:val="0"/>
              <w:autoSpaceDE w:val="0"/>
              <w:autoSpaceDN w:val="0"/>
              <w:adjustRightInd w:val="0"/>
              <w:spacing w:before="60" w:after="60" w:line="220" w:lineRule="exact"/>
              <w:ind w:right="794"/>
              <w:jc w:val="right"/>
              <w:rPr>
                <w:sz w:val="22"/>
                <w:szCs w:val="22"/>
              </w:rPr>
            </w:pPr>
            <w:r w:rsidRPr="008042AA">
              <w:rPr>
                <w:sz w:val="22"/>
                <w:szCs w:val="22"/>
              </w:rPr>
              <w:t>100,9</w:t>
            </w:r>
          </w:p>
        </w:tc>
      </w:tr>
      <w:tr w:rsidR="008042AA" w:rsidRPr="00113BDF" w:rsidTr="008C25D3">
        <w:trPr>
          <w:jc w:val="center"/>
        </w:trPr>
        <w:tc>
          <w:tcPr>
            <w:tcW w:w="2376" w:type="dxa"/>
            <w:tcBorders>
              <w:left w:val="single" w:sz="4" w:space="0" w:color="auto"/>
              <w:right w:val="single" w:sz="4" w:space="0" w:color="auto"/>
            </w:tcBorders>
            <w:vAlign w:val="bottom"/>
          </w:tcPr>
          <w:p w:rsidR="008042AA" w:rsidRPr="00113BDF" w:rsidRDefault="008042AA" w:rsidP="00A37694">
            <w:pPr>
              <w:spacing w:before="60" w:after="60" w:line="220" w:lineRule="exact"/>
              <w:ind w:left="284" w:right="57"/>
              <w:rPr>
                <w:sz w:val="22"/>
                <w:szCs w:val="22"/>
              </w:rPr>
            </w:pPr>
            <w:proofErr w:type="spellStart"/>
            <w:r w:rsidRPr="00113BDF">
              <w:rPr>
                <w:sz w:val="22"/>
                <w:szCs w:val="22"/>
              </w:rPr>
              <w:t>г</w:t>
            </w:r>
            <w:proofErr w:type="gramStart"/>
            <w:r w:rsidRPr="00113BDF">
              <w:rPr>
                <w:sz w:val="22"/>
                <w:szCs w:val="22"/>
              </w:rPr>
              <w:t>.М</w:t>
            </w:r>
            <w:proofErr w:type="gramEnd"/>
            <w:r w:rsidRPr="00113BDF">
              <w:rPr>
                <w:sz w:val="22"/>
                <w:szCs w:val="22"/>
              </w:rPr>
              <w:t>инск</w:t>
            </w:r>
            <w:proofErr w:type="spellEnd"/>
          </w:p>
        </w:tc>
        <w:tc>
          <w:tcPr>
            <w:tcW w:w="2140" w:type="dxa"/>
            <w:tcBorders>
              <w:left w:val="single" w:sz="4" w:space="0" w:color="auto"/>
              <w:right w:val="single" w:sz="4" w:space="0" w:color="auto"/>
            </w:tcBorders>
            <w:vAlign w:val="bottom"/>
          </w:tcPr>
          <w:p w:rsidR="008042AA" w:rsidRPr="00A432BC" w:rsidRDefault="008042AA" w:rsidP="00A37694">
            <w:pPr>
              <w:widowControl w:val="0"/>
              <w:autoSpaceDE w:val="0"/>
              <w:autoSpaceDN w:val="0"/>
              <w:adjustRightInd w:val="0"/>
              <w:spacing w:before="60" w:after="60" w:line="220" w:lineRule="exact"/>
              <w:ind w:right="737"/>
              <w:jc w:val="right"/>
              <w:rPr>
                <w:sz w:val="22"/>
                <w:szCs w:val="22"/>
                <w:highlight w:val="yellow"/>
              </w:rPr>
            </w:pPr>
            <w:r>
              <w:rPr>
                <w:sz w:val="22"/>
                <w:szCs w:val="22"/>
              </w:rPr>
              <w:t>2 150,0</w:t>
            </w:r>
          </w:p>
        </w:tc>
        <w:tc>
          <w:tcPr>
            <w:tcW w:w="2287" w:type="dxa"/>
            <w:tcBorders>
              <w:left w:val="single" w:sz="4" w:space="0" w:color="auto"/>
              <w:right w:val="single" w:sz="4" w:space="0" w:color="auto"/>
            </w:tcBorders>
            <w:vAlign w:val="bottom"/>
          </w:tcPr>
          <w:p w:rsidR="008042AA" w:rsidRPr="00EB5495" w:rsidRDefault="008042AA" w:rsidP="00F90B97">
            <w:pPr>
              <w:widowControl w:val="0"/>
              <w:autoSpaceDE w:val="0"/>
              <w:autoSpaceDN w:val="0"/>
              <w:adjustRightInd w:val="0"/>
              <w:spacing w:before="60" w:after="60" w:line="220" w:lineRule="exact"/>
              <w:ind w:right="794"/>
              <w:jc w:val="right"/>
              <w:rPr>
                <w:sz w:val="22"/>
                <w:szCs w:val="22"/>
              </w:rPr>
            </w:pPr>
            <w:r>
              <w:rPr>
                <w:sz w:val="22"/>
                <w:szCs w:val="22"/>
              </w:rPr>
              <w:t>104,9</w:t>
            </w:r>
          </w:p>
        </w:tc>
        <w:tc>
          <w:tcPr>
            <w:tcW w:w="2288" w:type="dxa"/>
            <w:tcBorders>
              <w:left w:val="single" w:sz="4" w:space="0" w:color="auto"/>
              <w:right w:val="single" w:sz="4" w:space="0" w:color="auto"/>
            </w:tcBorders>
          </w:tcPr>
          <w:p w:rsidR="008042AA" w:rsidRPr="008042AA" w:rsidRDefault="008042AA" w:rsidP="00F90B97">
            <w:pPr>
              <w:widowControl w:val="0"/>
              <w:autoSpaceDE w:val="0"/>
              <w:autoSpaceDN w:val="0"/>
              <w:adjustRightInd w:val="0"/>
              <w:spacing w:before="60" w:after="60" w:line="220" w:lineRule="exact"/>
              <w:ind w:right="794"/>
              <w:jc w:val="right"/>
              <w:rPr>
                <w:sz w:val="22"/>
                <w:szCs w:val="22"/>
              </w:rPr>
            </w:pPr>
            <w:r w:rsidRPr="008042AA">
              <w:rPr>
                <w:sz w:val="22"/>
                <w:szCs w:val="22"/>
              </w:rPr>
              <w:t>99,7</w:t>
            </w:r>
          </w:p>
        </w:tc>
      </w:tr>
      <w:tr w:rsidR="008042AA" w:rsidRPr="00113BDF" w:rsidTr="008C25D3">
        <w:trPr>
          <w:jc w:val="center"/>
        </w:trPr>
        <w:tc>
          <w:tcPr>
            <w:tcW w:w="2376" w:type="dxa"/>
            <w:tcBorders>
              <w:left w:val="single" w:sz="4" w:space="0" w:color="auto"/>
              <w:right w:val="single" w:sz="4" w:space="0" w:color="auto"/>
            </w:tcBorders>
            <w:vAlign w:val="bottom"/>
          </w:tcPr>
          <w:p w:rsidR="008042AA" w:rsidRPr="00113BDF" w:rsidRDefault="008042AA" w:rsidP="00A37694">
            <w:pPr>
              <w:spacing w:before="60" w:after="60" w:line="220" w:lineRule="exact"/>
              <w:ind w:left="284" w:right="57"/>
              <w:rPr>
                <w:sz w:val="22"/>
                <w:szCs w:val="22"/>
              </w:rPr>
            </w:pPr>
            <w:r w:rsidRPr="00113BDF">
              <w:rPr>
                <w:sz w:val="22"/>
                <w:szCs w:val="22"/>
              </w:rPr>
              <w:t>Минская</w:t>
            </w:r>
          </w:p>
        </w:tc>
        <w:tc>
          <w:tcPr>
            <w:tcW w:w="2140" w:type="dxa"/>
            <w:tcBorders>
              <w:left w:val="single" w:sz="4" w:space="0" w:color="auto"/>
              <w:right w:val="single" w:sz="4" w:space="0" w:color="auto"/>
            </w:tcBorders>
            <w:vAlign w:val="bottom"/>
          </w:tcPr>
          <w:p w:rsidR="008042AA" w:rsidRPr="00A432BC" w:rsidRDefault="008042AA" w:rsidP="00A37694">
            <w:pPr>
              <w:widowControl w:val="0"/>
              <w:autoSpaceDE w:val="0"/>
              <w:autoSpaceDN w:val="0"/>
              <w:adjustRightInd w:val="0"/>
              <w:spacing w:before="60" w:after="60" w:line="220" w:lineRule="exact"/>
              <w:ind w:right="737"/>
              <w:jc w:val="right"/>
              <w:rPr>
                <w:sz w:val="22"/>
                <w:szCs w:val="22"/>
                <w:highlight w:val="yellow"/>
              </w:rPr>
            </w:pPr>
            <w:r>
              <w:rPr>
                <w:sz w:val="22"/>
                <w:szCs w:val="22"/>
              </w:rPr>
              <w:t>275,5</w:t>
            </w:r>
          </w:p>
        </w:tc>
        <w:tc>
          <w:tcPr>
            <w:tcW w:w="2287" w:type="dxa"/>
            <w:tcBorders>
              <w:left w:val="single" w:sz="4" w:space="0" w:color="auto"/>
              <w:right w:val="single" w:sz="4" w:space="0" w:color="auto"/>
            </w:tcBorders>
            <w:vAlign w:val="bottom"/>
          </w:tcPr>
          <w:p w:rsidR="008042AA" w:rsidRPr="00EB5495" w:rsidRDefault="008042AA" w:rsidP="00F90B97">
            <w:pPr>
              <w:widowControl w:val="0"/>
              <w:autoSpaceDE w:val="0"/>
              <w:autoSpaceDN w:val="0"/>
              <w:adjustRightInd w:val="0"/>
              <w:spacing w:before="60" w:after="60" w:line="220" w:lineRule="exact"/>
              <w:ind w:right="794"/>
              <w:jc w:val="right"/>
              <w:rPr>
                <w:sz w:val="22"/>
                <w:szCs w:val="22"/>
              </w:rPr>
            </w:pPr>
            <w:r>
              <w:rPr>
                <w:sz w:val="22"/>
                <w:szCs w:val="22"/>
              </w:rPr>
              <w:t>105,3</w:t>
            </w:r>
          </w:p>
        </w:tc>
        <w:tc>
          <w:tcPr>
            <w:tcW w:w="2288" w:type="dxa"/>
            <w:tcBorders>
              <w:left w:val="single" w:sz="4" w:space="0" w:color="auto"/>
              <w:right w:val="single" w:sz="4" w:space="0" w:color="auto"/>
            </w:tcBorders>
          </w:tcPr>
          <w:p w:rsidR="008042AA" w:rsidRPr="008042AA" w:rsidRDefault="008042AA" w:rsidP="00F90B97">
            <w:pPr>
              <w:widowControl w:val="0"/>
              <w:autoSpaceDE w:val="0"/>
              <w:autoSpaceDN w:val="0"/>
              <w:adjustRightInd w:val="0"/>
              <w:spacing w:before="60" w:after="60" w:line="220" w:lineRule="exact"/>
              <w:ind w:right="794"/>
              <w:jc w:val="right"/>
              <w:rPr>
                <w:sz w:val="22"/>
                <w:szCs w:val="22"/>
              </w:rPr>
            </w:pPr>
            <w:r w:rsidRPr="008042AA">
              <w:rPr>
                <w:sz w:val="22"/>
                <w:szCs w:val="22"/>
              </w:rPr>
              <w:t>97,2</w:t>
            </w:r>
          </w:p>
        </w:tc>
      </w:tr>
      <w:tr w:rsidR="008042AA" w:rsidRPr="00113BDF" w:rsidTr="008C25D3">
        <w:trPr>
          <w:jc w:val="center"/>
        </w:trPr>
        <w:tc>
          <w:tcPr>
            <w:tcW w:w="2376" w:type="dxa"/>
            <w:tcBorders>
              <w:left w:val="single" w:sz="4" w:space="0" w:color="auto"/>
              <w:bottom w:val="double" w:sz="4" w:space="0" w:color="auto"/>
              <w:right w:val="single" w:sz="4" w:space="0" w:color="auto"/>
            </w:tcBorders>
            <w:vAlign w:val="bottom"/>
          </w:tcPr>
          <w:p w:rsidR="008042AA" w:rsidRPr="00113BDF" w:rsidRDefault="008042AA" w:rsidP="00A37694">
            <w:pPr>
              <w:spacing w:before="60" w:after="60" w:line="220" w:lineRule="exact"/>
              <w:ind w:left="284" w:right="57"/>
              <w:rPr>
                <w:sz w:val="22"/>
                <w:szCs w:val="22"/>
              </w:rPr>
            </w:pPr>
            <w:r w:rsidRPr="00113BDF">
              <w:rPr>
                <w:sz w:val="22"/>
                <w:szCs w:val="22"/>
              </w:rPr>
              <w:t>Могилевская</w:t>
            </w:r>
          </w:p>
        </w:tc>
        <w:tc>
          <w:tcPr>
            <w:tcW w:w="2140" w:type="dxa"/>
            <w:tcBorders>
              <w:left w:val="single" w:sz="4" w:space="0" w:color="auto"/>
              <w:bottom w:val="double" w:sz="4" w:space="0" w:color="auto"/>
              <w:right w:val="single" w:sz="4" w:space="0" w:color="auto"/>
            </w:tcBorders>
            <w:vAlign w:val="bottom"/>
          </w:tcPr>
          <w:p w:rsidR="008042AA" w:rsidRPr="00A432BC" w:rsidRDefault="008042AA" w:rsidP="00A37694">
            <w:pPr>
              <w:widowControl w:val="0"/>
              <w:autoSpaceDE w:val="0"/>
              <w:autoSpaceDN w:val="0"/>
              <w:adjustRightInd w:val="0"/>
              <w:spacing w:before="60" w:after="60" w:line="220" w:lineRule="exact"/>
              <w:ind w:right="737"/>
              <w:jc w:val="right"/>
              <w:rPr>
                <w:sz w:val="22"/>
                <w:szCs w:val="22"/>
                <w:highlight w:val="yellow"/>
              </w:rPr>
            </w:pPr>
            <w:r>
              <w:rPr>
                <w:sz w:val="22"/>
                <w:szCs w:val="22"/>
              </w:rPr>
              <w:t>271,4</w:t>
            </w:r>
          </w:p>
        </w:tc>
        <w:tc>
          <w:tcPr>
            <w:tcW w:w="2287" w:type="dxa"/>
            <w:tcBorders>
              <w:left w:val="single" w:sz="4" w:space="0" w:color="auto"/>
              <w:bottom w:val="double" w:sz="4" w:space="0" w:color="auto"/>
              <w:right w:val="single" w:sz="4" w:space="0" w:color="auto"/>
            </w:tcBorders>
            <w:vAlign w:val="bottom"/>
          </w:tcPr>
          <w:p w:rsidR="008042AA" w:rsidRPr="00EB5495" w:rsidRDefault="008042AA" w:rsidP="00F90B97">
            <w:pPr>
              <w:widowControl w:val="0"/>
              <w:autoSpaceDE w:val="0"/>
              <w:autoSpaceDN w:val="0"/>
              <w:adjustRightInd w:val="0"/>
              <w:spacing w:before="60" w:after="60" w:line="220" w:lineRule="exact"/>
              <w:ind w:right="794"/>
              <w:jc w:val="right"/>
              <w:rPr>
                <w:sz w:val="22"/>
                <w:szCs w:val="22"/>
              </w:rPr>
            </w:pPr>
            <w:r>
              <w:rPr>
                <w:sz w:val="22"/>
                <w:szCs w:val="22"/>
              </w:rPr>
              <w:t>101,9</w:t>
            </w:r>
          </w:p>
        </w:tc>
        <w:tc>
          <w:tcPr>
            <w:tcW w:w="2288" w:type="dxa"/>
            <w:tcBorders>
              <w:left w:val="single" w:sz="4" w:space="0" w:color="auto"/>
              <w:bottom w:val="double" w:sz="4" w:space="0" w:color="auto"/>
              <w:right w:val="single" w:sz="4" w:space="0" w:color="auto"/>
            </w:tcBorders>
          </w:tcPr>
          <w:p w:rsidR="008042AA" w:rsidRPr="008042AA" w:rsidRDefault="008042AA" w:rsidP="00F90B97">
            <w:pPr>
              <w:widowControl w:val="0"/>
              <w:autoSpaceDE w:val="0"/>
              <w:autoSpaceDN w:val="0"/>
              <w:adjustRightInd w:val="0"/>
              <w:spacing w:before="60" w:after="60" w:line="220" w:lineRule="exact"/>
              <w:ind w:right="794"/>
              <w:jc w:val="right"/>
              <w:rPr>
                <w:sz w:val="22"/>
                <w:szCs w:val="22"/>
              </w:rPr>
            </w:pPr>
            <w:r w:rsidRPr="008042AA">
              <w:rPr>
                <w:sz w:val="22"/>
                <w:szCs w:val="22"/>
              </w:rPr>
              <w:t>99,5</w:t>
            </w:r>
          </w:p>
        </w:tc>
      </w:tr>
    </w:tbl>
    <w:p w:rsidR="00831D22" w:rsidRPr="00D5652A" w:rsidRDefault="008042AA" w:rsidP="00D5652A">
      <w:pPr>
        <w:tabs>
          <w:tab w:val="left" w:pos="708"/>
          <w:tab w:val="center" w:pos="4153"/>
          <w:tab w:val="right" w:pos="8306"/>
        </w:tabs>
        <w:spacing w:before="120" w:after="120" w:line="340" w:lineRule="exact"/>
        <w:ind w:firstLine="709"/>
        <w:jc w:val="both"/>
        <w:rPr>
          <w:rFonts w:ascii="Arial" w:hAnsi="Arial" w:cs="Arial"/>
          <w:sz w:val="2"/>
          <w:szCs w:val="2"/>
        </w:rPr>
      </w:pPr>
      <w:r w:rsidRPr="005A1143">
        <w:rPr>
          <w:sz w:val="26"/>
          <w:szCs w:val="26"/>
        </w:rPr>
        <w:t xml:space="preserve">В </w:t>
      </w:r>
      <w:r w:rsidRPr="005A1143">
        <w:rPr>
          <w:spacing w:val="-6"/>
          <w:sz w:val="26"/>
          <w:szCs w:val="26"/>
          <w:lang w:val="en-US"/>
        </w:rPr>
        <w:t>I</w:t>
      </w:r>
      <w:r w:rsidRPr="005A1143">
        <w:rPr>
          <w:spacing w:val="-6"/>
          <w:sz w:val="26"/>
          <w:szCs w:val="26"/>
        </w:rPr>
        <w:t xml:space="preserve"> квартале 202</w:t>
      </w:r>
      <w:r>
        <w:rPr>
          <w:spacing w:val="-6"/>
          <w:sz w:val="26"/>
          <w:szCs w:val="26"/>
        </w:rPr>
        <w:t>2</w:t>
      </w:r>
      <w:r w:rsidRPr="005A1143">
        <w:rPr>
          <w:spacing w:val="-6"/>
          <w:sz w:val="26"/>
          <w:szCs w:val="26"/>
          <w:lang w:val="en-US"/>
        </w:rPr>
        <w:t> </w:t>
      </w:r>
      <w:r w:rsidRPr="005A1143">
        <w:rPr>
          <w:spacing w:val="-6"/>
          <w:sz w:val="26"/>
          <w:szCs w:val="26"/>
        </w:rPr>
        <w:t xml:space="preserve">г. </w:t>
      </w:r>
      <w:r w:rsidRPr="005A1143">
        <w:rPr>
          <w:sz w:val="26"/>
          <w:szCs w:val="26"/>
        </w:rPr>
        <w:t xml:space="preserve">в структуре платных услуг населению на долю транспортных услуг приходилось </w:t>
      </w:r>
      <w:r>
        <w:rPr>
          <w:sz w:val="26"/>
          <w:szCs w:val="26"/>
        </w:rPr>
        <w:t>9</w:t>
      </w:r>
      <w:r w:rsidR="00C31BC9">
        <w:rPr>
          <w:sz w:val="26"/>
          <w:szCs w:val="26"/>
        </w:rPr>
        <w:t>,3</w:t>
      </w:r>
      <w:r w:rsidRPr="005A1143">
        <w:rPr>
          <w:sz w:val="26"/>
          <w:szCs w:val="26"/>
        </w:rPr>
        <w:t xml:space="preserve">% (в сопоставимых ценах </w:t>
      </w:r>
      <w:r w:rsidR="00C31BC9">
        <w:rPr>
          <w:sz w:val="26"/>
          <w:szCs w:val="26"/>
        </w:rPr>
        <w:t>107,9</w:t>
      </w:r>
      <w:r w:rsidRPr="005A1143">
        <w:rPr>
          <w:sz w:val="26"/>
          <w:szCs w:val="26"/>
        </w:rPr>
        <w:t>%</w:t>
      </w:r>
      <w:r w:rsidRPr="005A1143">
        <w:rPr>
          <w:sz w:val="26"/>
          <w:szCs w:val="26"/>
        </w:rPr>
        <w:br/>
        <w:t xml:space="preserve">к уровню </w:t>
      </w:r>
      <w:r w:rsidRPr="005A1143">
        <w:rPr>
          <w:spacing w:val="-6"/>
          <w:sz w:val="26"/>
          <w:szCs w:val="26"/>
          <w:lang w:val="en-US"/>
        </w:rPr>
        <w:t>I</w:t>
      </w:r>
      <w:r w:rsidRPr="005A1143">
        <w:rPr>
          <w:spacing w:val="-6"/>
          <w:sz w:val="26"/>
          <w:szCs w:val="26"/>
        </w:rPr>
        <w:t xml:space="preserve"> квартала </w:t>
      </w:r>
      <w:r w:rsidRPr="005A1143">
        <w:rPr>
          <w:sz w:val="26"/>
          <w:szCs w:val="26"/>
        </w:rPr>
        <w:t>202</w:t>
      </w:r>
      <w:r w:rsidR="00C31BC9">
        <w:rPr>
          <w:sz w:val="26"/>
          <w:szCs w:val="26"/>
        </w:rPr>
        <w:t>1</w:t>
      </w:r>
      <w:r w:rsidRPr="005A1143">
        <w:rPr>
          <w:sz w:val="26"/>
          <w:szCs w:val="26"/>
        </w:rPr>
        <w:t xml:space="preserve"> г.), </w:t>
      </w:r>
      <w:r w:rsidR="00A37694" w:rsidRPr="005A1143">
        <w:rPr>
          <w:sz w:val="26"/>
          <w:szCs w:val="26"/>
        </w:rPr>
        <w:t xml:space="preserve">медицинских услуг – </w:t>
      </w:r>
      <w:r w:rsidR="00A37694">
        <w:rPr>
          <w:sz w:val="26"/>
          <w:szCs w:val="26"/>
        </w:rPr>
        <w:t>8,4</w:t>
      </w:r>
      <w:r w:rsidR="00A37694" w:rsidRPr="005A1143">
        <w:rPr>
          <w:sz w:val="26"/>
          <w:szCs w:val="26"/>
        </w:rPr>
        <w:t>% (1</w:t>
      </w:r>
      <w:r w:rsidR="00A37694">
        <w:rPr>
          <w:sz w:val="26"/>
          <w:szCs w:val="26"/>
        </w:rPr>
        <w:t>15,7</w:t>
      </w:r>
      <w:r w:rsidR="00A37694" w:rsidRPr="005A1143">
        <w:rPr>
          <w:sz w:val="26"/>
          <w:szCs w:val="26"/>
        </w:rPr>
        <w:t>%)</w:t>
      </w:r>
      <w:r w:rsidR="00A37694">
        <w:rPr>
          <w:sz w:val="26"/>
          <w:szCs w:val="26"/>
        </w:rPr>
        <w:t xml:space="preserve">, </w:t>
      </w:r>
      <w:r w:rsidRPr="005A1143">
        <w:rPr>
          <w:sz w:val="26"/>
          <w:szCs w:val="26"/>
        </w:rPr>
        <w:t xml:space="preserve">бытовых </w:t>
      </w:r>
      <w:r w:rsidR="00A37694">
        <w:rPr>
          <w:sz w:val="26"/>
          <w:szCs w:val="26"/>
        </w:rPr>
        <w:br/>
      </w:r>
      <w:r w:rsidRPr="005A1143">
        <w:rPr>
          <w:sz w:val="26"/>
          <w:szCs w:val="26"/>
        </w:rPr>
        <w:t xml:space="preserve">услуг – </w:t>
      </w:r>
      <w:r w:rsidR="00C31BC9">
        <w:rPr>
          <w:sz w:val="26"/>
          <w:szCs w:val="26"/>
        </w:rPr>
        <w:t>8</w:t>
      </w:r>
      <w:r w:rsidRPr="005A1143">
        <w:rPr>
          <w:sz w:val="26"/>
          <w:szCs w:val="26"/>
        </w:rPr>
        <w:t>% (</w:t>
      </w:r>
      <w:r w:rsidR="00C31BC9">
        <w:rPr>
          <w:sz w:val="26"/>
          <w:szCs w:val="26"/>
        </w:rPr>
        <w:t>103,5</w:t>
      </w:r>
      <w:r w:rsidRPr="005A1143">
        <w:rPr>
          <w:sz w:val="26"/>
          <w:szCs w:val="26"/>
        </w:rPr>
        <w:t xml:space="preserve">%), услуг в области образования – </w:t>
      </w:r>
      <w:r w:rsidR="00CA4D4A">
        <w:rPr>
          <w:sz w:val="26"/>
          <w:szCs w:val="26"/>
        </w:rPr>
        <w:t>6,8</w:t>
      </w:r>
      <w:r w:rsidRPr="005A1143">
        <w:rPr>
          <w:sz w:val="26"/>
          <w:szCs w:val="26"/>
        </w:rPr>
        <w:t>% (9</w:t>
      </w:r>
      <w:r w:rsidR="00CA4D4A">
        <w:rPr>
          <w:sz w:val="26"/>
          <w:szCs w:val="26"/>
        </w:rPr>
        <w:t>6,4%</w:t>
      </w:r>
      <w:r w:rsidRPr="005A1143">
        <w:rPr>
          <w:sz w:val="26"/>
          <w:szCs w:val="26"/>
        </w:rPr>
        <w:t>)</w:t>
      </w:r>
      <w:r>
        <w:rPr>
          <w:sz w:val="26"/>
          <w:szCs w:val="26"/>
        </w:rPr>
        <w:t>.</w:t>
      </w:r>
      <w:bookmarkStart w:id="0" w:name="_GoBack"/>
      <w:bookmarkEnd w:id="0"/>
    </w:p>
    <w:sectPr w:rsidR="00831D22" w:rsidRPr="00D5652A" w:rsidSect="00E06F12">
      <w:headerReference w:type="default" r:id="rId10"/>
      <w:footerReference w:type="even" r:id="rId11"/>
      <w:footerReference w:type="default" r:id="rId12"/>
      <w:pgSz w:w="11907" w:h="16840" w:code="9"/>
      <w:pgMar w:top="1588" w:right="1418" w:bottom="1418" w:left="1418" w:header="1247" w:footer="1134" w:gutter="0"/>
      <w:pgNumType w:start="79"/>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AD4" w:rsidRDefault="00953AD4">
      <w:r>
        <w:separator/>
      </w:r>
    </w:p>
  </w:endnote>
  <w:endnote w:type="continuationSeparator" w:id="0">
    <w:p w:rsidR="00953AD4" w:rsidRDefault="00953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CE" w:rsidRDefault="00695639">
    <w:pPr>
      <w:pStyle w:val="a5"/>
      <w:framePr w:wrap="auto" w:vAnchor="text" w:hAnchor="margin" w:xAlign="outside" w:y="1"/>
      <w:rPr>
        <w:rStyle w:val="a6"/>
      </w:rPr>
    </w:pPr>
    <w:r>
      <w:rPr>
        <w:rStyle w:val="a6"/>
      </w:rPr>
      <w:fldChar w:fldCharType="begin"/>
    </w:r>
    <w:r w:rsidR="00DC4FCE">
      <w:rPr>
        <w:rStyle w:val="a6"/>
      </w:rPr>
      <w:instrText xml:space="preserve">PAGE  </w:instrText>
    </w:r>
    <w:r>
      <w:rPr>
        <w:rStyle w:val="a6"/>
      </w:rPr>
      <w:fldChar w:fldCharType="end"/>
    </w:r>
  </w:p>
  <w:p w:rsidR="00DC4FCE" w:rsidRDefault="00DC4FCE">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CE" w:rsidRDefault="00695639">
    <w:pPr>
      <w:pStyle w:val="a5"/>
      <w:framePr w:wrap="auto" w:vAnchor="text" w:hAnchor="margin" w:xAlign="outside" w:y="1"/>
      <w:rPr>
        <w:rStyle w:val="a6"/>
      </w:rPr>
    </w:pPr>
    <w:r>
      <w:rPr>
        <w:rStyle w:val="a6"/>
      </w:rPr>
      <w:fldChar w:fldCharType="begin"/>
    </w:r>
    <w:r w:rsidR="00DC4FCE">
      <w:rPr>
        <w:rStyle w:val="a6"/>
      </w:rPr>
      <w:instrText xml:space="preserve">PAGE  </w:instrText>
    </w:r>
    <w:r>
      <w:rPr>
        <w:rStyle w:val="a6"/>
      </w:rPr>
      <w:fldChar w:fldCharType="separate"/>
    </w:r>
    <w:r w:rsidR="00E06F12">
      <w:rPr>
        <w:rStyle w:val="a6"/>
        <w:noProof/>
      </w:rPr>
      <w:t>79</w:t>
    </w:r>
    <w:r>
      <w:rPr>
        <w:rStyle w:val="a6"/>
      </w:rPr>
      <w:fldChar w:fldCharType="end"/>
    </w:r>
  </w:p>
  <w:p w:rsidR="00DC4FCE" w:rsidRDefault="00DC4FCE">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AD4" w:rsidRDefault="00953AD4">
      <w:r>
        <w:separator/>
      </w:r>
    </w:p>
  </w:footnote>
  <w:footnote w:type="continuationSeparator" w:id="0">
    <w:p w:rsidR="00953AD4" w:rsidRDefault="00953A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806" w:rsidRDefault="00144806" w:rsidP="00144806">
    <w:pPr>
      <w:pStyle w:val="a3"/>
      <w:pBdr>
        <w:bottom w:val="double" w:sz="6" w:space="1" w:color="auto"/>
      </w:pBdr>
      <w:tabs>
        <w:tab w:val="center" w:pos="4536"/>
      </w:tabs>
      <w:spacing w:after="240"/>
      <w:jc w:val="center"/>
      <w:rPr>
        <w:rFonts w:ascii="Arial" w:hAnsi="Arial"/>
        <w:sz w:val="16"/>
      </w:rPr>
    </w:pPr>
    <w:r>
      <w:rPr>
        <w:rFonts w:ascii="Arial" w:hAnsi="Arial"/>
        <w:sz w:val="16"/>
      </w:rPr>
      <w:t>ПЛАТНЫЕ УСЛУГИ НАСЕЛЕНИЮ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E2A22"/>
    <w:multiLevelType w:val="hybridMultilevel"/>
    <w:tmpl w:val="7D8601D4"/>
    <w:lvl w:ilvl="0" w:tplc="E07441F4">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
    <w:nsid w:val="073C3FED"/>
    <w:multiLevelType w:val="hybridMultilevel"/>
    <w:tmpl w:val="7F542286"/>
    <w:lvl w:ilvl="0" w:tplc="01BCF452">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
    <w:nsid w:val="2E3C6252"/>
    <w:multiLevelType w:val="hybridMultilevel"/>
    <w:tmpl w:val="EF3089B0"/>
    <w:lvl w:ilvl="0" w:tplc="64C8CDC0">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3">
    <w:nsid w:val="403164A5"/>
    <w:multiLevelType w:val="hybridMultilevel"/>
    <w:tmpl w:val="E030409E"/>
    <w:lvl w:ilvl="0" w:tplc="04190001">
      <w:start w:val="1"/>
      <w:numFmt w:val="bullet"/>
      <w:lvlText w:val=""/>
      <w:lvlJc w:val="left"/>
      <w:pPr>
        <w:tabs>
          <w:tab w:val="num" w:pos="1069"/>
        </w:tabs>
        <w:ind w:left="1069" w:hanging="360"/>
      </w:pPr>
      <w:rPr>
        <w:rFonts w:ascii="Symbol" w:hAnsi="Symbol"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
    <w:nsid w:val="55EB6C00"/>
    <w:multiLevelType w:val="hybridMultilevel"/>
    <w:tmpl w:val="E030409E"/>
    <w:lvl w:ilvl="0" w:tplc="A04634B8">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5">
    <w:nsid w:val="65B10E8B"/>
    <w:multiLevelType w:val="hybridMultilevel"/>
    <w:tmpl w:val="7BB2F464"/>
    <w:lvl w:ilvl="0" w:tplc="0652BFE6">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6">
    <w:nsid w:val="78A52C62"/>
    <w:multiLevelType w:val="hybridMultilevel"/>
    <w:tmpl w:val="E7DEF2BE"/>
    <w:lvl w:ilvl="0" w:tplc="0C6CCFD6">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num w:numId="1">
    <w:abstractNumId w:val="6"/>
  </w:num>
  <w:num w:numId="2">
    <w:abstractNumId w:val="5"/>
  </w:num>
  <w:num w:numId="3">
    <w:abstractNumId w:val="2"/>
  </w:num>
  <w:num w:numId="4">
    <w:abstractNumId w:val="4"/>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DE8"/>
    <w:rsid w:val="0000037A"/>
    <w:rsid w:val="00000805"/>
    <w:rsid w:val="0000131F"/>
    <w:rsid w:val="0000154E"/>
    <w:rsid w:val="00002C43"/>
    <w:rsid w:val="000037FA"/>
    <w:rsid w:val="00003BB2"/>
    <w:rsid w:val="00004721"/>
    <w:rsid w:val="00005230"/>
    <w:rsid w:val="00005F3B"/>
    <w:rsid w:val="00005FB1"/>
    <w:rsid w:val="00006398"/>
    <w:rsid w:val="000064EC"/>
    <w:rsid w:val="00007BF5"/>
    <w:rsid w:val="00010926"/>
    <w:rsid w:val="00011A56"/>
    <w:rsid w:val="00012F31"/>
    <w:rsid w:val="0001418E"/>
    <w:rsid w:val="00014934"/>
    <w:rsid w:val="000158A7"/>
    <w:rsid w:val="00016218"/>
    <w:rsid w:val="000176A5"/>
    <w:rsid w:val="00017B9D"/>
    <w:rsid w:val="00017E4D"/>
    <w:rsid w:val="00017E97"/>
    <w:rsid w:val="0002085B"/>
    <w:rsid w:val="00020D36"/>
    <w:rsid w:val="00022437"/>
    <w:rsid w:val="000230AF"/>
    <w:rsid w:val="000233D7"/>
    <w:rsid w:val="00023D03"/>
    <w:rsid w:val="00023E89"/>
    <w:rsid w:val="0002535B"/>
    <w:rsid w:val="00025407"/>
    <w:rsid w:val="0002794D"/>
    <w:rsid w:val="00030573"/>
    <w:rsid w:val="000305B7"/>
    <w:rsid w:val="00030A7C"/>
    <w:rsid w:val="00031538"/>
    <w:rsid w:val="000315D0"/>
    <w:rsid w:val="0003206C"/>
    <w:rsid w:val="00032591"/>
    <w:rsid w:val="00032ED5"/>
    <w:rsid w:val="00033070"/>
    <w:rsid w:val="000340AF"/>
    <w:rsid w:val="00034D66"/>
    <w:rsid w:val="00035542"/>
    <w:rsid w:val="00035BE7"/>
    <w:rsid w:val="000367D3"/>
    <w:rsid w:val="000375F3"/>
    <w:rsid w:val="00037DC4"/>
    <w:rsid w:val="000401A5"/>
    <w:rsid w:val="000408C5"/>
    <w:rsid w:val="00040975"/>
    <w:rsid w:val="00040D05"/>
    <w:rsid w:val="0004182F"/>
    <w:rsid w:val="00041D6C"/>
    <w:rsid w:val="00041F1C"/>
    <w:rsid w:val="000436A3"/>
    <w:rsid w:val="00047194"/>
    <w:rsid w:val="00047340"/>
    <w:rsid w:val="000518BA"/>
    <w:rsid w:val="00052F56"/>
    <w:rsid w:val="00053564"/>
    <w:rsid w:val="000536DD"/>
    <w:rsid w:val="00053723"/>
    <w:rsid w:val="0005425A"/>
    <w:rsid w:val="0005445B"/>
    <w:rsid w:val="00054924"/>
    <w:rsid w:val="00055C3B"/>
    <w:rsid w:val="00056C2E"/>
    <w:rsid w:val="00057625"/>
    <w:rsid w:val="00060226"/>
    <w:rsid w:val="000602B0"/>
    <w:rsid w:val="000602E3"/>
    <w:rsid w:val="000625EB"/>
    <w:rsid w:val="0006284D"/>
    <w:rsid w:val="00063601"/>
    <w:rsid w:val="000644B2"/>
    <w:rsid w:val="000645CF"/>
    <w:rsid w:val="0006476F"/>
    <w:rsid w:val="00064AD6"/>
    <w:rsid w:val="00065DD1"/>
    <w:rsid w:val="000667C0"/>
    <w:rsid w:val="0007030A"/>
    <w:rsid w:val="000706A2"/>
    <w:rsid w:val="0007359E"/>
    <w:rsid w:val="00073C10"/>
    <w:rsid w:val="0007470E"/>
    <w:rsid w:val="00077C74"/>
    <w:rsid w:val="00077EB4"/>
    <w:rsid w:val="00077FBB"/>
    <w:rsid w:val="000801BB"/>
    <w:rsid w:val="00080B6B"/>
    <w:rsid w:val="00081DDC"/>
    <w:rsid w:val="00081F75"/>
    <w:rsid w:val="0008222E"/>
    <w:rsid w:val="00082D47"/>
    <w:rsid w:val="00083F2B"/>
    <w:rsid w:val="00083F50"/>
    <w:rsid w:val="00084513"/>
    <w:rsid w:val="00085226"/>
    <w:rsid w:val="0008545C"/>
    <w:rsid w:val="000860ED"/>
    <w:rsid w:val="00086693"/>
    <w:rsid w:val="000923BE"/>
    <w:rsid w:val="000928DA"/>
    <w:rsid w:val="00092E34"/>
    <w:rsid w:val="00093193"/>
    <w:rsid w:val="000932F9"/>
    <w:rsid w:val="00096AF9"/>
    <w:rsid w:val="00096CBB"/>
    <w:rsid w:val="00097420"/>
    <w:rsid w:val="00097560"/>
    <w:rsid w:val="000978F8"/>
    <w:rsid w:val="00097D55"/>
    <w:rsid w:val="000A065B"/>
    <w:rsid w:val="000A0978"/>
    <w:rsid w:val="000A0DE7"/>
    <w:rsid w:val="000A103E"/>
    <w:rsid w:val="000A10D5"/>
    <w:rsid w:val="000A260F"/>
    <w:rsid w:val="000A26D4"/>
    <w:rsid w:val="000A2C12"/>
    <w:rsid w:val="000A300D"/>
    <w:rsid w:val="000A3ABD"/>
    <w:rsid w:val="000A4A66"/>
    <w:rsid w:val="000A4B46"/>
    <w:rsid w:val="000A4E80"/>
    <w:rsid w:val="000A55DD"/>
    <w:rsid w:val="000A56E9"/>
    <w:rsid w:val="000A798C"/>
    <w:rsid w:val="000A7A0F"/>
    <w:rsid w:val="000A7D61"/>
    <w:rsid w:val="000B0695"/>
    <w:rsid w:val="000B1497"/>
    <w:rsid w:val="000B177B"/>
    <w:rsid w:val="000B1A6B"/>
    <w:rsid w:val="000B1CA0"/>
    <w:rsid w:val="000B1FBD"/>
    <w:rsid w:val="000B25DF"/>
    <w:rsid w:val="000B2808"/>
    <w:rsid w:val="000B366D"/>
    <w:rsid w:val="000B3682"/>
    <w:rsid w:val="000B4F16"/>
    <w:rsid w:val="000B5C38"/>
    <w:rsid w:val="000B681F"/>
    <w:rsid w:val="000B6B9B"/>
    <w:rsid w:val="000B6E4C"/>
    <w:rsid w:val="000C0066"/>
    <w:rsid w:val="000C0726"/>
    <w:rsid w:val="000C0A72"/>
    <w:rsid w:val="000C10AE"/>
    <w:rsid w:val="000C127E"/>
    <w:rsid w:val="000C1D06"/>
    <w:rsid w:val="000C1E15"/>
    <w:rsid w:val="000C1FFB"/>
    <w:rsid w:val="000C20CC"/>
    <w:rsid w:val="000C35C8"/>
    <w:rsid w:val="000C5293"/>
    <w:rsid w:val="000C5323"/>
    <w:rsid w:val="000C621D"/>
    <w:rsid w:val="000C696E"/>
    <w:rsid w:val="000C6C6E"/>
    <w:rsid w:val="000C7A0E"/>
    <w:rsid w:val="000C7C89"/>
    <w:rsid w:val="000D0208"/>
    <w:rsid w:val="000D0415"/>
    <w:rsid w:val="000D158E"/>
    <w:rsid w:val="000D398A"/>
    <w:rsid w:val="000D39C4"/>
    <w:rsid w:val="000D4433"/>
    <w:rsid w:val="000D4C5A"/>
    <w:rsid w:val="000D4D3B"/>
    <w:rsid w:val="000D5152"/>
    <w:rsid w:val="000D78D7"/>
    <w:rsid w:val="000E1493"/>
    <w:rsid w:val="000E1574"/>
    <w:rsid w:val="000E1F88"/>
    <w:rsid w:val="000E204C"/>
    <w:rsid w:val="000E26AB"/>
    <w:rsid w:val="000E2945"/>
    <w:rsid w:val="000E2E54"/>
    <w:rsid w:val="000E35EC"/>
    <w:rsid w:val="000E48DB"/>
    <w:rsid w:val="000E4A02"/>
    <w:rsid w:val="000E620F"/>
    <w:rsid w:val="000E6F1E"/>
    <w:rsid w:val="000E6FF1"/>
    <w:rsid w:val="000E719E"/>
    <w:rsid w:val="000E7A79"/>
    <w:rsid w:val="000F01A4"/>
    <w:rsid w:val="000F0211"/>
    <w:rsid w:val="000F0CF2"/>
    <w:rsid w:val="000F135D"/>
    <w:rsid w:val="000F1C41"/>
    <w:rsid w:val="000F1D19"/>
    <w:rsid w:val="000F2043"/>
    <w:rsid w:val="000F22F8"/>
    <w:rsid w:val="000F2E41"/>
    <w:rsid w:val="000F32AF"/>
    <w:rsid w:val="000F343C"/>
    <w:rsid w:val="000F3D4E"/>
    <w:rsid w:val="000F45E5"/>
    <w:rsid w:val="000F46DB"/>
    <w:rsid w:val="000F4B5C"/>
    <w:rsid w:val="000F4D65"/>
    <w:rsid w:val="000F5E24"/>
    <w:rsid w:val="000F612A"/>
    <w:rsid w:val="000F69CF"/>
    <w:rsid w:val="000F78DE"/>
    <w:rsid w:val="000F7BAB"/>
    <w:rsid w:val="000F7F0C"/>
    <w:rsid w:val="00100CA1"/>
    <w:rsid w:val="00101338"/>
    <w:rsid w:val="00102476"/>
    <w:rsid w:val="00105558"/>
    <w:rsid w:val="001055EA"/>
    <w:rsid w:val="00106415"/>
    <w:rsid w:val="001074AF"/>
    <w:rsid w:val="001076E7"/>
    <w:rsid w:val="00110054"/>
    <w:rsid w:val="0011072E"/>
    <w:rsid w:val="001110DC"/>
    <w:rsid w:val="001124CB"/>
    <w:rsid w:val="00112CE8"/>
    <w:rsid w:val="00113BDF"/>
    <w:rsid w:val="001164DF"/>
    <w:rsid w:val="00116D79"/>
    <w:rsid w:val="00117403"/>
    <w:rsid w:val="00120022"/>
    <w:rsid w:val="00120F21"/>
    <w:rsid w:val="0012182B"/>
    <w:rsid w:val="00121DA5"/>
    <w:rsid w:val="00122370"/>
    <w:rsid w:val="00122461"/>
    <w:rsid w:val="00123E31"/>
    <w:rsid w:val="00124453"/>
    <w:rsid w:val="0012449E"/>
    <w:rsid w:val="00124E01"/>
    <w:rsid w:val="00125818"/>
    <w:rsid w:val="0012614E"/>
    <w:rsid w:val="00126906"/>
    <w:rsid w:val="00126D96"/>
    <w:rsid w:val="00127D92"/>
    <w:rsid w:val="00130177"/>
    <w:rsid w:val="00130727"/>
    <w:rsid w:val="00130B23"/>
    <w:rsid w:val="00130BD6"/>
    <w:rsid w:val="00131787"/>
    <w:rsid w:val="00131882"/>
    <w:rsid w:val="00131CAF"/>
    <w:rsid w:val="00132E74"/>
    <w:rsid w:val="001347B3"/>
    <w:rsid w:val="00134E0D"/>
    <w:rsid w:val="00135375"/>
    <w:rsid w:val="00136ADF"/>
    <w:rsid w:val="00140C0B"/>
    <w:rsid w:val="00141BB4"/>
    <w:rsid w:val="00142E89"/>
    <w:rsid w:val="0014407D"/>
    <w:rsid w:val="001443C5"/>
    <w:rsid w:val="00144806"/>
    <w:rsid w:val="00144C3B"/>
    <w:rsid w:val="00145100"/>
    <w:rsid w:val="001457A0"/>
    <w:rsid w:val="0014680C"/>
    <w:rsid w:val="00147192"/>
    <w:rsid w:val="00147986"/>
    <w:rsid w:val="001501F2"/>
    <w:rsid w:val="00150994"/>
    <w:rsid w:val="001521D5"/>
    <w:rsid w:val="00152410"/>
    <w:rsid w:val="001526BF"/>
    <w:rsid w:val="00152FDC"/>
    <w:rsid w:val="0015332F"/>
    <w:rsid w:val="00153662"/>
    <w:rsid w:val="00153E9F"/>
    <w:rsid w:val="00154157"/>
    <w:rsid w:val="001542B2"/>
    <w:rsid w:val="00154B3D"/>
    <w:rsid w:val="00154DFA"/>
    <w:rsid w:val="00155679"/>
    <w:rsid w:val="001566A4"/>
    <w:rsid w:val="00156712"/>
    <w:rsid w:val="00156D81"/>
    <w:rsid w:val="00157A04"/>
    <w:rsid w:val="00160680"/>
    <w:rsid w:val="001621E3"/>
    <w:rsid w:val="0016240C"/>
    <w:rsid w:val="00164671"/>
    <w:rsid w:val="00164673"/>
    <w:rsid w:val="00164A68"/>
    <w:rsid w:val="00164C8D"/>
    <w:rsid w:val="00165E75"/>
    <w:rsid w:val="001663F0"/>
    <w:rsid w:val="00166596"/>
    <w:rsid w:val="001671B2"/>
    <w:rsid w:val="00170369"/>
    <w:rsid w:val="00177252"/>
    <w:rsid w:val="00177852"/>
    <w:rsid w:val="00177B48"/>
    <w:rsid w:val="00180216"/>
    <w:rsid w:val="00180B32"/>
    <w:rsid w:val="0018108D"/>
    <w:rsid w:val="00182621"/>
    <w:rsid w:val="00185F1A"/>
    <w:rsid w:val="001867C0"/>
    <w:rsid w:val="001870F0"/>
    <w:rsid w:val="0019045F"/>
    <w:rsid w:val="00190E0B"/>
    <w:rsid w:val="00191FB7"/>
    <w:rsid w:val="001928C2"/>
    <w:rsid w:val="00192AF2"/>
    <w:rsid w:val="00193F8A"/>
    <w:rsid w:val="00194E14"/>
    <w:rsid w:val="001974FB"/>
    <w:rsid w:val="00197F52"/>
    <w:rsid w:val="001A066B"/>
    <w:rsid w:val="001A12F5"/>
    <w:rsid w:val="001A1AB7"/>
    <w:rsid w:val="001A3988"/>
    <w:rsid w:val="001A3D06"/>
    <w:rsid w:val="001A525A"/>
    <w:rsid w:val="001A537B"/>
    <w:rsid w:val="001A62AA"/>
    <w:rsid w:val="001A6314"/>
    <w:rsid w:val="001A6757"/>
    <w:rsid w:val="001A6DF5"/>
    <w:rsid w:val="001A6EB2"/>
    <w:rsid w:val="001A7262"/>
    <w:rsid w:val="001A758A"/>
    <w:rsid w:val="001A7E26"/>
    <w:rsid w:val="001B035F"/>
    <w:rsid w:val="001B09B9"/>
    <w:rsid w:val="001B0A5B"/>
    <w:rsid w:val="001B0DBD"/>
    <w:rsid w:val="001B169C"/>
    <w:rsid w:val="001B16DE"/>
    <w:rsid w:val="001B18B1"/>
    <w:rsid w:val="001B21C4"/>
    <w:rsid w:val="001B2394"/>
    <w:rsid w:val="001B23BC"/>
    <w:rsid w:val="001B3150"/>
    <w:rsid w:val="001B3E4D"/>
    <w:rsid w:val="001B484B"/>
    <w:rsid w:val="001B505F"/>
    <w:rsid w:val="001B621B"/>
    <w:rsid w:val="001B6309"/>
    <w:rsid w:val="001B661B"/>
    <w:rsid w:val="001B794A"/>
    <w:rsid w:val="001C0D1A"/>
    <w:rsid w:val="001C1100"/>
    <w:rsid w:val="001C169F"/>
    <w:rsid w:val="001C17A1"/>
    <w:rsid w:val="001C1B80"/>
    <w:rsid w:val="001C2491"/>
    <w:rsid w:val="001C2817"/>
    <w:rsid w:val="001C29DA"/>
    <w:rsid w:val="001C3990"/>
    <w:rsid w:val="001C481C"/>
    <w:rsid w:val="001C4CBF"/>
    <w:rsid w:val="001C4F3A"/>
    <w:rsid w:val="001C5A3E"/>
    <w:rsid w:val="001C5C80"/>
    <w:rsid w:val="001C60C4"/>
    <w:rsid w:val="001C6B6F"/>
    <w:rsid w:val="001C7DCE"/>
    <w:rsid w:val="001D0892"/>
    <w:rsid w:val="001D16BE"/>
    <w:rsid w:val="001D18B5"/>
    <w:rsid w:val="001D18C8"/>
    <w:rsid w:val="001D1E91"/>
    <w:rsid w:val="001D1F79"/>
    <w:rsid w:val="001D2318"/>
    <w:rsid w:val="001D247D"/>
    <w:rsid w:val="001D6AFA"/>
    <w:rsid w:val="001D72A8"/>
    <w:rsid w:val="001E003A"/>
    <w:rsid w:val="001E0704"/>
    <w:rsid w:val="001E0F75"/>
    <w:rsid w:val="001E11B0"/>
    <w:rsid w:val="001E16F8"/>
    <w:rsid w:val="001E1B99"/>
    <w:rsid w:val="001E2856"/>
    <w:rsid w:val="001E3227"/>
    <w:rsid w:val="001E3314"/>
    <w:rsid w:val="001E3B8D"/>
    <w:rsid w:val="001E560D"/>
    <w:rsid w:val="001E5868"/>
    <w:rsid w:val="001E67D2"/>
    <w:rsid w:val="001E6FBD"/>
    <w:rsid w:val="001E74E1"/>
    <w:rsid w:val="001E75EC"/>
    <w:rsid w:val="001F0386"/>
    <w:rsid w:val="001F0D0F"/>
    <w:rsid w:val="001F1252"/>
    <w:rsid w:val="001F21DB"/>
    <w:rsid w:val="001F26F1"/>
    <w:rsid w:val="001F4161"/>
    <w:rsid w:val="001F497C"/>
    <w:rsid w:val="001F4D5D"/>
    <w:rsid w:val="001F7187"/>
    <w:rsid w:val="001F71FA"/>
    <w:rsid w:val="00201308"/>
    <w:rsid w:val="00201B09"/>
    <w:rsid w:val="00202617"/>
    <w:rsid w:val="002034EA"/>
    <w:rsid w:val="00203EA3"/>
    <w:rsid w:val="0020476F"/>
    <w:rsid w:val="00204E93"/>
    <w:rsid w:val="00205D1E"/>
    <w:rsid w:val="00205E05"/>
    <w:rsid w:val="00206570"/>
    <w:rsid w:val="00206674"/>
    <w:rsid w:val="002069AE"/>
    <w:rsid w:val="00207059"/>
    <w:rsid w:val="00207D80"/>
    <w:rsid w:val="00207EA6"/>
    <w:rsid w:val="00207F09"/>
    <w:rsid w:val="002114E9"/>
    <w:rsid w:val="002118D3"/>
    <w:rsid w:val="00212034"/>
    <w:rsid w:val="002120E8"/>
    <w:rsid w:val="00213E38"/>
    <w:rsid w:val="00214377"/>
    <w:rsid w:val="002144F7"/>
    <w:rsid w:val="00215A10"/>
    <w:rsid w:val="002161B0"/>
    <w:rsid w:val="002171A6"/>
    <w:rsid w:val="00217D27"/>
    <w:rsid w:val="002206A6"/>
    <w:rsid w:val="00220761"/>
    <w:rsid w:val="0022089E"/>
    <w:rsid w:val="00220F2D"/>
    <w:rsid w:val="00221D5C"/>
    <w:rsid w:val="002222DF"/>
    <w:rsid w:val="00222840"/>
    <w:rsid w:val="00223339"/>
    <w:rsid w:val="00223F4D"/>
    <w:rsid w:val="00224142"/>
    <w:rsid w:val="0022523B"/>
    <w:rsid w:val="002275B3"/>
    <w:rsid w:val="00227C02"/>
    <w:rsid w:val="002302FA"/>
    <w:rsid w:val="00230F49"/>
    <w:rsid w:val="002324C9"/>
    <w:rsid w:val="00233EB5"/>
    <w:rsid w:val="00234064"/>
    <w:rsid w:val="00234182"/>
    <w:rsid w:val="002359CF"/>
    <w:rsid w:val="00235A1E"/>
    <w:rsid w:val="00235C35"/>
    <w:rsid w:val="00235C7B"/>
    <w:rsid w:val="00236B2B"/>
    <w:rsid w:val="00236C6D"/>
    <w:rsid w:val="00236DFC"/>
    <w:rsid w:val="00236ED5"/>
    <w:rsid w:val="00237EFB"/>
    <w:rsid w:val="00241F77"/>
    <w:rsid w:val="00243019"/>
    <w:rsid w:val="00243107"/>
    <w:rsid w:val="002434A9"/>
    <w:rsid w:val="00243825"/>
    <w:rsid w:val="00243E07"/>
    <w:rsid w:val="00244BEA"/>
    <w:rsid w:val="00246C60"/>
    <w:rsid w:val="002472FD"/>
    <w:rsid w:val="002478DE"/>
    <w:rsid w:val="00250633"/>
    <w:rsid w:val="00250FD1"/>
    <w:rsid w:val="002511E7"/>
    <w:rsid w:val="002516CC"/>
    <w:rsid w:val="00252019"/>
    <w:rsid w:val="00252384"/>
    <w:rsid w:val="00252779"/>
    <w:rsid w:val="00252C48"/>
    <w:rsid w:val="0025439C"/>
    <w:rsid w:val="00255ECA"/>
    <w:rsid w:val="002561F7"/>
    <w:rsid w:val="002571FC"/>
    <w:rsid w:val="00257B96"/>
    <w:rsid w:val="00260515"/>
    <w:rsid w:val="00260BC6"/>
    <w:rsid w:val="0026113E"/>
    <w:rsid w:val="00261B69"/>
    <w:rsid w:val="002632F5"/>
    <w:rsid w:val="00263A94"/>
    <w:rsid w:val="00263B53"/>
    <w:rsid w:val="0026488B"/>
    <w:rsid w:val="00264964"/>
    <w:rsid w:val="00266A32"/>
    <w:rsid w:val="0026785A"/>
    <w:rsid w:val="00270578"/>
    <w:rsid w:val="00270B92"/>
    <w:rsid w:val="0027145E"/>
    <w:rsid w:val="00271DCB"/>
    <w:rsid w:val="00271FB1"/>
    <w:rsid w:val="00272726"/>
    <w:rsid w:val="002736FB"/>
    <w:rsid w:val="00273705"/>
    <w:rsid w:val="00273EFC"/>
    <w:rsid w:val="00274465"/>
    <w:rsid w:val="00274762"/>
    <w:rsid w:val="0027717E"/>
    <w:rsid w:val="0027723A"/>
    <w:rsid w:val="00277877"/>
    <w:rsid w:val="00277BA7"/>
    <w:rsid w:val="00277C09"/>
    <w:rsid w:val="002802AD"/>
    <w:rsid w:val="00280386"/>
    <w:rsid w:val="002813E0"/>
    <w:rsid w:val="00281E8A"/>
    <w:rsid w:val="00282722"/>
    <w:rsid w:val="00282D65"/>
    <w:rsid w:val="0028361C"/>
    <w:rsid w:val="00284201"/>
    <w:rsid w:val="00286C2C"/>
    <w:rsid w:val="002879F1"/>
    <w:rsid w:val="00287F0A"/>
    <w:rsid w:val="002927F5"/>
    <w:rsid w:val="00292D7B"/>
    <w:rsid w:val="00293058"/>
    <w:rsid w:val="002937F5"/>
    <w:rsid w:val="002938EE"/>
    <w:rsid w:val="00293B7C"/>
    <w:rsid w:val="00294626"/>
    <w:rsid w:val="00294B0F"/>
    <w:rsid w:val="00296626"/>
    <w:rsid w:val="00296BAF"/>
    <w:rsid w:val="00297D15"/>
    <w:rsid w:val="002A2069"/>
    <w:rsid w:val="002A2B6B"/>
    <w:rsid w:val="002A2C8E"/>
    <w:rsid w:val="002A36BB"/>
    <w:rsid w:val="002A3799"/>
    <w:rsid w:val="002A45DF"/>
    <w:rsid w:val="002A48B8"/>
    <w:rsid w:val="002A4F9F"/>
    <w:rsid w:val="002A57BB"/>
    <w:rsid w:val="002A5CC0"/>
    <w:rsid w:val="002A5ED8"/>
    <w:rsid w:val="002A5F6C"/>
    <w:rsid w:val="002A6587"/>
    <w:rsid w:val="002A6D1C"/>
    <w:rsid w:val="002A7FCC"/>
    <w:rsid w:val="002B09E5"/>
    <w:rsid w:val="002B1069"/>
    <w:rsid w:val="002B19F1"/>
    <w:rsid w:val="002B1A3B"/>
    <w:rsid w:val="002B2B55"/>
    <w:rsid w:val="002B372F"/>
    <w:rsid w:val="002B39E9"/>
    <w:rsid w:val="002B4134"/>
    <w:rsid w:val="002B440A"/>
    <w:rsid w:val="002B4B74"/>
    <w:rsid w:val="002B4E09"/>
    <w:rsid w:val="002B4FFB"/>
    <w:rsid w:val="002B5534"/>
    <w:rsid w:val="002B569D"/>
    <w:rsid w:val="002B5DC9"/>
    <w:rsid w:val="002B63D2"/>
    <w:rsid w:val="002B6F4E"/>
    <w:rsid w:val="002B7021"/>
    <w:rsid w:val="002B714D"/>
    <w:rsid w:val="002C02A9"/>
    <w:rsid w:val="002C033A"/>
    <w:rsid w:val="002C0A14"/>
    <w:rsid w:val="002C0A47"/>
    <w:rsid w:val="002C0AD9"/>
    <w:rsid w:val="002C1215"/>
    <w:rsid w:val="002C1D98"/>
    <w:rsid w:val="002C24F0"/>
    <w:rsid w:val="002C32CB"/>
    <w:rsid w:val="002C3705"/>
    <w:rsid w:val="002C37C3"/>
    <w:rsid w:val="002C4A9A"/>
    <w:rsid w:val="002C58A8"/>
    <w:rsid w:val="002C72FB"/>
    <w:rsid w:val="002C73D4"/>
    <w:rsid w:val="002C78B7"/>
    <w:rsid w:val="002C7AEB"/>
    <w:rsid w:val="002D0943"/>
    <w:rsid w:val="002D09FD"/>
    <w:rsid w:val="002D0B41"/>
    <w:rsid w:val="002D141E"/>
    <w:rsid w:val="002D1E8C"/>
    <w:rsid w:val="002D24C2"/>
    <w:rsid w:val="002D28BB"/>
    <w:rsid w:val="002D2932"/>
    <w:rsid w:val="002D2CF6"/>
    <w:rsid w:val="002D2E22"/>
    <w:rsid w:val="002D46E9"/>
    <w:rsid w:val="002D5072"/>
    <w:rsid w:val="002D5221"/>
    <w:rsid w:val="002D795C"/>
    <w:rsid w:val="002D7BDA"/>
    <w:rsid w:val="002E0591"/>
    <w:rsid w:val="002E0CD8"/>
    <w:rsid w:val="002E11AE"/>
    <w:rsid w:val="002E150B"/>
    <w:rsid w:val="002E1622"/>
    <w:rsid w:val="002E2B91"/>
    <w:rsid w:val="002E3099"/>
    <w:rsid w:val="002E385E"/>
    <w:rsid w:val="002E5D95"/>
    <w:rsid w:val="002F01D2"/>
    <w:rsid w:val="002F0FB1"/>
    <w:rsid w:val="002F110F"/>
    <w:rsid w:val="002F1C29"/>
    <w:rsid w:val="002F1DDE"/>
    <w:rsid w:val="002F2832"/>
    <w:rsid w:val="002F2CA6"/>
    <w:rsid w:val="002F338D"/>
    <w:rsid w:val="002F36E9"/>
    <w:rsid w:val="002F4867"/>
    <w:rsid w:val="002F6119"/>
    <w:rsid w:val="002F6D38"/>
    <w:rsid w:val="002F6DBD"/>
    <w:rsid w:val="002F71AE"/>
    <w:rsid w:val="002F77FC"/>
    <w:rsid w:val="002F787A"/>
    <w:rsid w:val="003002C7"/>
    <w:rsid w:val="003004CF"/>
    <w:rsid w:val="00302317"/>
    <w:rsid w:val="00302B9A"/>
    <w:rsid w:val="00303A57"/>
    <w:rsid w:val="00303B38"/>
    <w:rsid w:val="00303C52"/>
    <w:rsid w:val="003048AE"/>
    <w:rsid w:val="0030645B"/>
    <w:rsid w:val="003064DD"/>
    <w:rsid w:val="00307849"/>
    <w:rsid w:val="0031110C"/>
    <w:rsid w:val="00311C1E"/>
    <w:rsid w:val="003131B0"/>
    <w:rsid w:val="00313703"/>
    <w:rsid w:val="003152A8"/>
    <w:rsid w:val="00315C19"/>
    <w:rsid w:val="0031648C"/>
    <w:rsid w:val="003170AB"/>
    <w:rsid w:val="00317308"/>
    <w:rsid w:val="0031765C"/>
    <w:rsid w:val="0032047F"/>
    <w:rsid w:val="00321A31"/>
    <w:rsid w:val="00321A5B"/>
    <w:rsid w:val="00322249"/>
    <w:rsid w:val="00322A0E"/>
    <w:rsid w:val="00323DB3"/>
    <w:rsid w:val="00324E4C"/>
    <w:rsid w:val="003269D3"/>
    <w:rsid w:val="00326DF2"/>
    <w:rsid w:val="00326F11"/>
    <w:rsid w:val="00326FF1"/>
    <w:rsid w:val="00327488"/>
    <w:rsid w:val="00327715"/>
    <w:rsid w:val="00327D11"/>
    <w:rsid w:val="00327FCF"/>
    <w:rsid w:val="00330400"/>
    <w:rsid w:val="0033190F"/>
    <w:rsid w:val="0033203B"/>
    <w:rsid w:val="00332FE7"/>
    <w:rsid w:val="003335FE"/>
    <w:rsid w:val="00333C93"/>
    <w:rsid w:val="00333F94"/>
    <w:rsid w:val="00334585"/>
    <w:rsid w:val="003345C7"/>
    <w:rsid w:val="00334BF2"/>
    <w:rsid w:val="00335301"/>
    <w:rsid w:val="00335895"/>
    <w:rsid w:val="00335C88"/>
    <w:rsid w:val="003361F7"/>
    <w:rsid w:val="00336C18"/>
    <w:rsid w:val="003379B7"/>
    <w:rsid w:val="00340866"/>
    <w:rsid w:val="00341196"/>
    <w:rsid w:val="00341774"/>
    <w:rsid w:val="00341D15"/>
    <w:rsid w:val="00342347"/>
    <w:rsid w:val="00342394"/>
    <w:rsid w:val="00342BFC"/>
    <w:rsid w:val="00342CB7"/>
    <w:rsid w:val="00342E9F"/>
    <w:rsid w:val="00343B4B"/>
    <w:rsid w:val="00343F63"/>
    <w:rsid w:val="0034506D"/>
    <w:rsid w:val="00345395"/>
    <w:rsid w:val="00346693"/>
    <w:rsid w:val="00347D97"/>
    <w:rsid w:val="00350135"/>
    <w:rsid w:val="0035092C"/>
    <w:rsid w:val="00350AB8"/>
    <w:rsid w:val="003515B8"/>
    <w:rsid w:val="00351F72"/>
    <w:rsid w:val="00353461"/>
    <w:rsid w:val="00353755"/>
    <w:rsid w:val="0035580D"/>
    <w:rsid w:val="0035661B"/>
    <w:rsid w:val="00356A09"/>
    <w:rsid w:val="00356D5C"/>
    <w:rsid w:val="00360A7D"/>
    <w:rsid w:val="00360EF9"/>
    <w:rsid w:val="003610D8"/>
    <w:rsid w:val="003621FE"/>
    <w:rsid w:val="00362637"/>
    <w:rsid w:val="00362B7A"/>
    <w:rsid w:val="00364496"/>
    <w:rsid w:val="003646AD"/>
    <w:rsid w:val="003654F3"/>
    <w:rsid w:val="00366733"/>
    <w:rsid w:val="00367A27"/>
    <w:rsid w:val="00367C70"/>
    <w:rsid w:val="0037194F"/>
    <w:rsid w:val="00371F6F"/>
    <w:rsid w:val="00373560"/>
    <w:rsid w:val="00373BE5"/>
    <w:rsid w:val="00375584"/>
    <w:rsid w:val="00375F2D"/>
    <w:rsid w:val="003773CB"/>
    <w:rsid w:val="00377C2C"/>
    <w:rsid w:val="00377D44"/>
    <w:rsid w:val="00380027"/>
    <w:rsid w:val="003828B4"/>
    <w:rsid w:val="00382FBA"/>
    <w:rsid w:val="0038340D"/>
    <w:rsid w:val="00383CA1"/>
    <w:rsid w:val="003859C4"/>
    <w:rsid w:val="0038677A"/>
    <w:rsid w:val="0038765F"/>
    <w:rsid w:val="003877C1"/>
    <w:rsid w:val="003916ED"/>
    <w:rsid w:val="00392F7F"/>
    <w:rsid w:val="00394850"/>
    <w:rsid w:val="00394A14"/>
    <w:rsid w:val="00394B73"/>
    <w:rsid w:val="0039591D"/>
    <w:rsid w:val="00395C45"/>
    <w:rsid w:val="00396485"/>
    <w:rsid w:val="00397D02"/>
    <w:rsid w:val="003A07B4"/>
    <w:rsid w:val="003A09D9"/>
    <w:rsid w:val="003A1325"/>
    <w:rsid w:val="003A1341"/>
    <w:rsid w:val="003A13F9"/>
    <w:rsid w:val="003A15DD"/>
    <w:rsid w:val="003A16F8"/>
    <w:rsid w:val="003A2189"/>
    <w:rsid w:val="003A2799"/>
    <w:rsid w:val="003A3736"/>
    <w:rsid w:val="003A4631"/>
    <w:rsid w:val="003A4EF8"/>
    <w:rsid w:val="003A5A89"/>
    <w:rsid w:val="003A715C"/>
    <w:rsid w:val="003A7639"/>
    <w:rsid w:val="003B25DB"/>
    <w:rsid w:val="003B2CF3"/>
    <w:rsid w:val="003B315C"/>
    <w:rsid w:val="003B3535"/>
    <w:rsid w:val="003B3B78"/>
    <w:rsid w:val="003B3BDA"/>
    <w:rsid w:val="003B5005"/>
    <w:rsid w:val="003B55B5"/>
    <w:rsid w:val="003B58B2"/>
    <w:rsid w:val="003B5CC0"/>
    <w:rsid w:val="003B7D74"/>
    <w:rsid w:val="003B7EE3"/>
    <w:rsid w:val="003C00D4"/>
    <w:rsid w:val="003C0374"/>
    <w:rsid w:val="003C04D5"/>
    <w:rsid w:val="003C0704"/>
    <w:rsid w:val="003C0BA4"/>
    <w:rsid w:val="003C10BC"/>
    <w:rsid w:val="003C1370"/>
    <w:rsid w:val="003C15D7"/>
    <w:rsid w:val="003C1E10"/>
    <w:rsid w:val="003C1F1F"/>
    <w:rsid w:val="003C384B"/>
    <w:rsid w:val="003C3B54"/>
    <w:rsid w:val="003C413E"/>
    <w:rsid w:val="003C4736"/>
    <w:rsid w:val="003C4E12"/>
    <w:rsid w:val="003C5455"/>
    <w:rsid w:val="003C5629"/>
    <w:rsid w:val="003C5961"/>
    <w:rsid w:val="003C617E"/>
    <w:rsid w:val="003C62A0"/>
    <w:rsid w:val="003C725C"/>
    <w:rsid w:val="003D192D"/>
    <w:rsid w:val="003D1CFE"/>
    <w:rsid w:val="003D212C"/>
    <w:rsid w:val="003D26A1"/>
    <w:rsid w:val="003D2CED"/>
    <w:rsid w:val="003D32D2"/>
    <w:rsid w:val="003D4B86"/>
    <w:rsid w:val="003D4DEC"/>
    <w:rsid w:val="003D4F20"/>
    <w:rsid w:val="003D4FAF"/>
    <w:rsid w:val="003D58DB"/>
    <w:rsid w:val="003D5FB5"/>
    <w:rsid w:val="003D6A35"/>
    <w:rsid w:val="003D73AD"/>
    <w:rsid w:val="003D747F"/>
    <w:rsid w:val="003E07EE"/>
    <w:rsid w:val="003E1CB4"/>
    <w:rsid w:val="003E20AA"/>
    <w:rsid w:val="003E25F7"/>
    <w:rsid w:val="003E3835"/>
    <w:rsid w:val="003E3A57"/>
    <w:rsid w:val="003E645D"/>
    <w:rsid w:val="003F0A42"/>
    <w:rsid w:val="003F0CE4"/>
    <w:rsid w:val="003F1242"/>
    <w:rsid w:val="003F1CD2"/>
    <w:rsid w:val="003F27BF"/>
    <w:rsid w:val="003F52DC"/>
    <w:rsid w:val="003F52E2"/>
    <w:rsid w:val="003F54E6"/>
    <w:rsid w:val="003F5B1B"/>
    <w:rsid w:val="003F62AF"/>
    <w:rsid w:val="003F64F5"/>
    <w:rsid w:val="003F7490"/>
    <w:rsid w:val="003F77D1"/>
    <w:rsid w:val="003F7B87"/>
    <w:rsid w:val="004001E6"/>
    <w:rsid w:val="004003B5"/>
    <w:rsid w:val="00400518"/>
    <w:rsid w:val="004007A1"/>
    <w:rsid w:val="00400B6C"/>
    <w:rsid w:val="00400BB7"/>
    <w:rsid w:val="00400F07"/>
    <w:rsid w:val="004013B6"/>
    <w:rsid w:val="00401536"/>
    <w:rsid w:val="004018DA"/>
    <w:rsid w:val="004024DA"/>
    <w:rsid w:val="00403866"/>
    <w:rsid w:val="00403878"/>
    <w:rsid w:val="00403B1A"/>
    <w:rsid w:val="00403B43"/>
    <w:rsid w:val="00403E7C"/>
    <w:rsid w:val="0040666F"/>
    <w:rsid w:val="00407D00"/>
    <w:rsid w:val="00410146"/>
    <w:rsid w:val="00410604"/>
    <w:rsid w:val="004111A6"/>
    <w:rsid w:val="004117D2"/>
    <w:rsid w:val="00411AF8"/>
    <w:rsid w:val="00412946"/>
    <w:rsid w:val="00412BFA"/>
    <w:rsid w:val="00413140"/>
    <w:rsid w:val="0041326B"/>
    <w:rsid w:val="004137E4"/>
    <w:rsid w:val="00413A8A"/>
    <w:rsid w:val="00414D1F"/>
    <w:rsid w:val="004151B4"/>
    <w:rsid w:val="0041543F"/>
    <w:rsid w:val="00415894"/>
    <w:rsid w:val="00415AD8"/>
    <w:rsid w:val="004164AE"/>
    <w:rsid w:val="00416665"/>
    <w:rsid w:val="00416CB1"/>
    <w:rsid w:val="004176FC"/>
    <w:rsid w:val="00421047"/>
    <w:rsid w:val="004211C1"/>
    <w:rsid w:val="00421AE1"/>
    <w:rsid w:val="00421C3E"/>
    <w:rsid w:val="00422824"/>
    <w:rsid w:val="0042290B"/>
    <w:rsid w:val="00424368"/>
    <w:rsid w:val="004262C0"/>
    <w:rsid w:val="00430836"/>
    <w:rsid w:val="00430F48"/>
    <w:rsid w:val="00431177"/>
    <w:rsid w:val="00431871"/>
    <w:rsid w:val="00431E3D"/>
    <w:rsid w:val="00431F64"/>
    <w:rsid w:val="0043306C"/>
    <w:rsid w:val="004339AA"/>
    <w:rsid w:val="00433B82"/>
    <w:rsid w:val="00433C0E"/>
    <w:rsid w:val="00433FFC"/>
    <w:rsid w:val="00435162"/>
    <w:rsid w:val="00435197"/>
    <w:rsid w:val="0043541E"/>
    <w:rsid w:val="00436317"/>
    <w:rsid w:val="00436511"/>
    <w:rsid w:val="004370D7"/>
    <w:rsid w:val="004375EB"/>
    <w:rsid w:val="004409B6"/>
    <w:rsid w:val="00441010"/>
    <w:rsid w:val="00441892"/>
    <w:rsid w:val="004423C3"/>
    <w:rsid w:val="00442C3D"/>
    <w:rsid w:val="00442D7F"/>
    <w:rsid w:val="00442FD2"/>
    <w:rsid w:val="00444383"/>
    <w:rsid w:val="004446C8"/>
    <w:rsid w:val="00444FAE"/>
    <w:rsid w:val="0044593C"/>
    <w:rsid w:val="004465D1"/>
    <w:rsid w:val="0044775C"/>
    <w:rsid w:val="0045007F"/>
    <w:rsid w:val="00451209"/>
    <w:rsid w:val="004512B2"/>
    <w:rsid w:val="0045134E"/>
    <w:rsid w:val="004533B8"/>
    <w:rsid w:val="00453ACB"/>
    <w:rsid w:val="00453E07"/>
    <w:rsid w:val="00454633"/>
    <w:rsid w:val="00455951"/>
    <w:rsid w:val="00455BDE"/>
    <w:rsid w:val="00455C24"/>
    <w:rsid w:val="00456081"/>
    <w:rsid w:val="004569F1"/>
    <w:rsid w:val="00456EA8"/>
    <w:rsid w:val="00456FBB"/>
    <w:rsid w:val="004570EA"/>
    <w:rsid w:val="00457D2D"/>
    <w:rsid w:val="00460461"/>
    <w:rsid w:val="004604CA"/>
    <w:rsid w:val="00460782"/>
    <w:rsid w:val="00461830"/>
    <w:rsid w:val="00461BD9"/>
    <w:rsid w:val="004624CA"/>
    <w:rsid w:val="0046298A"/>
    <w:rsid w:val="00464067"/>
    <w:rsid w:val="004641DE"/>
    <w:rsid w:val="00464445"/>
    <w:rsid w:val="00464C36"/>
    <w:rsid w:val="00466F42"/>
    <w:rsid w:val="004679D6"/>
    <w:rsid w:val="0047134F"/>
    <w:rsid w:val="00471EF7"/>
    <w:rsid w:val="00471F5F"/>
    <w:rsid w:val="00472633"/>
    <w:rsid w:val="00472F5F"/>
    <w:rsid w:val="004739D1"/>
    <w:rsid w:val="00475A7B"/>
    <w:rsid w:val="00475D5B"/>
    <w:rsid w:val="00475EAE"/>
    <w:rsid w:val="004766F8"/>
    <w:rsid w:val="00477354"/>
    <w:rsid w:val="00477A09"/>
    <w:rsid w:val="0048054A"/>
    <w:rsid w:val="00480C81"/>
    <w:rsid w:val="00480E18"/>
    <w:rsid w:val="004816DD"/>
    <w:rsid w:val="00481D1A"/>
    <w:rsid w:val="00481D1D"/>
    <w:rsid w:val="0048267A"/>
    <w:rsid w:val="00482D67"/>
    <w:rsid w:val="00483CDB"/>
    <w:rsid w:val="00484234"/>
    <w:rsid w:val="004843CE"/>
    <w:rsid w:val="0048525E"/>
    <w:rsid w:val="004852BD"/>
    <w:rsid w:val="00485393"/>
    <w:rsid w:val="004857C8"/>
    <w:rsid w:val="004860AA"/>
    <w:rsid w:val="00487C3E"/>
    <w:rsid w:val="00490AA3"/>
    <w:rsid w:val="00491E62"/>
    <w:rsid w:val="00492189"/>
    <w:rsid w:val="00492274"/>
    <w:rsid w:val="00492D94"/>
    <w:rsid w:val="00493CAF"/>
    <w:rsid w:val="00496A63"/>
    <w:rsid w:val="00496C3F"/>
    <w:rsid w:val="004A1099"/>
    <w:rsid w:val="004A13AE"/>
    <w:rsid w:val="004A4903"/>
    <w:rsid w:val="004A49CA"/>
    <w:rsid w:val="004A5010"/>
    <w:rsid w:val="004A6A00"/>
    <w:rsid w:val="004B0558"/>
    <w:rsid w:val="004B1B9A"/>
    <w:rsid w:val="004B1C9D"/>
    <w:rsid w:val="004B210C"/>
    <w:rsid w:val="004B28D4"/>
    <w:rsid w:val="004B2C36"/>
    <w:rsid w:val="004B5BB8"/>
    <w:rsid w:val="004B647C"/>
    <w:rsid w:val="004B66DE"/>
    <w:rsid w:val="004B7F45"/>
    <w:rsid w:val="004C0179"/>
    <w:rsid w:val="004C01BD"/>
    <w:rsid w:val="004C17D6"/>
    <w:rsid w:val="004C2713"/>
    <w:rsid w:val="004C42BD"/>
    <w:rsid w:val="004C478B"/>
    <w:rsid w:val="004C59D3"/>
    <w:rsid w:val="004C5C62"/>
    <w:rsid w:val="004C6077"/>
    <w:rsid w:val="004C6080"/>
    <w:rsid w:val="004C6949"/>
    <w:rsid w:val="004C6BCD"/>
    <w:rsid w:val="004C711D"/>
    <w:rsid w:val="004C793F"/>
    <w:rsid w:val="004D0194"/>
    <w:rsid w:val="004D0B74"/>
    <w:rsid w:val="004D0B8B"/>
    <w:rsid w:val="004D16E7"/>
    <w:rsid w:val="004D2168"/>
    <w:rsid w:val="004D26E4"/>
    <w:rsid w:val="004D2C9F"/>
    <w:rsid w:val="004D3A31"/>
    <w:rsid w:val="004D3F6E"/>
    <w:rsid w:val="004D47FE"/>
    <w:rsid w:val="004D57C5"/>
    <w:rsid w:val="004D5A52"/>
    <w:rsid w:val="004D6A90"/>
    <w:rsid w:val="004D6AB8"/>
    <w:rsid w:val="004D7537"/>
    <w:rsid w:val="004E01FD"/>
    <w:rsid w:val="004E0D23"/>
    <w:rsid w:val="004E1903"/>
    <w:rsid w:val="004E1BC4"/>
    <w:rsid w:val="004E2384"/>
    <w:rsid w:val="004E26A7"/>
    <w:rsid w:val="004E3666"/>
    <w:rsid w:val="004E4948"/>
    <w:rsid w:val="004E4AF1"/>
    <w:rsid w:val="004E65F8"/>
    <w:rsid w:val="004E6F29"/>
    <w:rsid w:val="004E7898"/>
    <w:rsid w:val="004F088B"/>
    <w:rsid w:val="004F0FB3"/>
    <w:rsid w:val="004F1065"/>
    <w:rsid w:val="004F1FA5"/>
    <w:rsid w:val="004F256E"/>
    <w:rsid w:val="004F3718"/>
    <w:rsid w:val="004F386D"/>
    <w:rsid w:val="004F3B84"/>
    <w:rsid w:val="004F3C7F"/>
    <w:rsid w:val="004F5110"/>
    <w:rsid w:val="004F5267"/>
    <w:rsid w:val="004F6E29"/>
    <w:rsid w:val="004F7604"/>
    <w:rsid w:val="004F76D8"/>
    <w:rsid w:val="004F7AEA"/>
    <w:rsid w:val="005016DB"/>
    <w:rsid w:val="00501AD7"/>
    <w:rsid w:val="0050238A"/>
    <w:rsid w:val="005029A0"/>
    <w:rsid w:val="0050497A"/>
    <w:rsid w:val="00504C06"/>
    <w:rsid w:val="00504F12"/>
    <w:rsid w:val="00505AE9"/>
    <w:rsid w:val="00506304"/>
    <w:rsid w:val="00506B08"/>
    <w:rsid w:val="00506E7B"/>
    <w:rsid w:val="00507A38"/>
    <w:rsid w:val="005115C4"/>
    <w:rsid w:val="00511BF2"/>
    <w:rsid w:val="00511EF2"/>
    <w:rsid w:val="005132C6"/>
    <w:rsid w:val="00513623"/>
    <w:rsid w:val="00513B8A"/>
    <w:rsid w:val="00513EC0"/>
    <w:rsid w:val="00516264"/>
    <w:rsid w:val="0051663C"/>
    <w:rsid w:val="00516B26"/>
    <w:rsid w:val="005174FA"/>
    <w:rsid w:val="005177B6"/>
    <w:rsid w:val="00517F20"/>
    <w:rsid w:val="00517FEE"/>
    <w:rsid w:val="0052119C"/>
    <w:rsid w:val="005225B1"/>
    <w:rsid w:val="00523619"/>
    <w:rsid w:val="00523C81"/>
    <w:rsid w:val="00523D68"/>
    <w:rsid w:val="00525435"/>
    <w:rsid w:val="00526B21"/>
    <w:rsid w:val="005270C0"/>
    <w:rsid w:val="005272A2"/>
    <w:rsid w:val="005303A2"/>
    <w:rsid w:val="005303B2"/>
    <w:rsid w:val="0053076D"/>
    <w:rsid w:val="00530E15"/>
    <w:rsid w:val="005313E4"/>
    <w:rsid w:val="00531E12"/>
    <w:rsid w:val="00532735"/>
    <w:rsid w:val="00532CDC"/>
    <w:rsid w:val="0053398C"/>
    <w:rsid w:val="0053408B"/>
    <w:rsid w:val="005344A9"/>
    <w:rsid w:val="005346E7"/>
    <w:rsid w:val="00534794"/>
    <w:rsid w:val="00535516"/>
    <w:rsid w:val="00535E28"/>
    <w:rsid w:val="005371AC"/>
    <w:rsid w:val="00537D64"/>
    <w:rsid w:val="00542507"/>
    <w:rsid w:val="00542A79"/>
    <w:rsid w:val="00542D87"/>
    <w:rsid w:val="00543C05"/>
    <w:rsid w:val="00544137"/>
    <w:rsid w:val="0054501F"/>
    <w:rsid w:val="005455C7"/>
    <w:rsid w:val="00545A59"/>
    <w:rsid w:val="00545B64"/>
    <w:rsid w:val="0054693A"/>
    <w:rsid w:val="00547F96"/>
    <w:rsid w:val="005505D9"/>
    <w:rsid w:val="00550661"/>
    <w:rsid w:val="005506F6"/>
    <w:rsid w:val="00551DD5"/>
    <w:rsid w:val="0055249B"/>
    <w:rsid w:val="00553CBC"/>
    <w:rsid w:val="00554EA1"/>
    <w:rsid w:val="00555604"/>
    <w:rsid w:val="005556C5"/>
    <w:rsid w:val="00555AD3"/>
    <w:rsid w:val="00555B71"/>
    <w:rsid w:val="00556F9D"/>
    <w:rsid w:val="00557271"/>
    <w:rsid w:val="00557479"/>
    <w:rsid w:val="00560317"/>
    <w:rsid w:val="00560466"/>
    <w:rsid w:val="00560995"/>
    <w:rsid w:val="00560FEE"/>
    <w:rsid w:val="00561261"/>
    <w:rsid w:val="00561C44"/>
    <w:rsid w:val="00562CF4"/>
    <w:rsid w:val="005631C0"/>
    <w:rsid w:val="00563A5A"/>
    <w:rsid w:val="00564590"/>
    <w:rsid w:val="005645E0"/>
    <w:rsid w:val="005648F3"/>
    <w:rsid w:val="00564E08"/>
    <w:rsid w:val="005651C3"/>
    <w:rsid w:val="005669C7"/>
    <w:rsid w:val="005703CB"/>
    <w:rsid w:val="00570601"/>
    <w:rsid w:val="00570666"/>
    <w:rsid w:val="00570B8B"/>
    <w:rsid w:val="0057178F"/>
    <w:rsid w:val="00572B0A"/>
    <w:rsid w:val="0057309F"/>
    <w:rsid w:val="005731DD"/>
    <w:rsid w:val="00573660"/>
    <w:rsid w:val="00573F11"/>
    <w:rsid w:val="00573F18"/>
    <w:rsid w:val="0057431D"/>
    <w:rsid w:val="00574639"/>
    <w:rsid w:val="00574BF7"/>
    <w:rsid w:val="00574DD7"/>
    <w:rsid w:val="005750AA"/>
    <w:rsid w:val="005758D9"/>
    <w:rsid w:val="00575CFA"/>
    <w:rsid w:val="0057681F"/>
    <w:rsid w:val="00577A9F"/>
    <w:rsid w:val="00577B20"/>
    <w:rsid w:val="00577DF3"/>
    <w:rsid w:val="00581BD1"/>
    <w:rsid w:val="00582395"/>
    <w:rsid w:val="0058256B"/>
    <w:rsid w:val="005856EF"/>
    <w:rsid w:val="0058683A"/>
    <w:rsid w:val="005872FC"/>
    <w:rsid w:val="00590426"/>
    <w:rsid w:val="00590ACD"/>
    <w:rsid w:val="00590B50"/>
    <w:rsid w:val="00590FD8"/>
    <w:rsid w:val="00591869"/>
    <w:rsid w:val="00591BB0"/>
    <w:rsid w:val="005921EA"/>
    <w:rsid w:val="005931A8"/>
    <w:rsid w:val="005931FA"/>
    <w:rsid w:val="0059323B"/>
    <w:rsid w:val="0059368D"/>
    <w:rsid w:val="00593BDA"/>
    <w:rsid w:val="00593F09"/>
    <w:rsid w:val="00594124"/>
    <w:rsid w:val="00594C8C"/>
    <w:rsid w:val="005A10A1"/>
    <w:rsid w:val="005A127F"/>
    <w:rsid w:val="005A1A24"/>
    <w:rsid w:val="005A1B96"/>
    <w:rsid w:val="005A224E"/>
    <w:rsid w:val="005A29B3"/>
    <w:rsid w:val="005A32F4"/>
    <w:rsid w:val="005A4191"/>
    <w:rsid w:val="005A437A"/>
    <w:rsid w:val="005A4B7C"/>
    <w:rsid w:val="005A550A"/>
    <w:rsid w:val="005A5ABC"/>
    <w:rsid w:val="005A75E0"/>
    <w:rsid w:val="005A7668"/>
    <w:rsid w:val="005A7AE0"/>
    <w:rsid w:val="005B0E1D"/>
    <w:rsid w:val="005B0EFB"/>
    <w:rsid w:val="005B1926"/>
    <w:rsid w:val="005B1F9F"/>
    <w:rsid w:val="005B20CA"/>
    <w:rsid w:val="005B29DF"/>
    <w:rsid w:val="005B349E"/>
    <w:rsid w:val="005B3887"/>
    <w:rsid w:val="005B3959"/>
    <w:rsid w:val="005B580B"/>
    <w:rsid w:val="005B62A3"/>
    <w:rsid w:val="005B6B7A"/>
    <w:rsid w:val="005B7731"/>
    <w:rsid w:val="005B7757"/>
    <w:rsid w:val="005C03E5"/>
    <w:rsid w:val="005C0817"/>
    <w:rsid w:val="005C0849"/>
    <w:rsid w:val="005C18F1"/>
    <w:rsid w:val="005C1CE0"/>
    <w:rsid w:val="005C223B"/>
    <w:rsid w:val="005C23DA"/>
    <w:rsid w:val="005C3C74"/>
    <w:rsid w:val="005C4834"/>
    <w:rsid w:val="005C503A"/>
    <w:rsid w:val="005C56F1"/>
    <w:rsid w:val="005C694B"/>
    <w:rsid w:val="005C746A"/>
    <w:rsid w:val="005C780C"/>
    <w:rsid w:val="005C7F4F"/>
    <w:rsid w:val="005D0337"/>
    <w:rsid w:val="005D042D"/>
    <w:rsid w:val="005D0A01"/>
    <w:rsid w:val="005D0D03"/>
    <w:rsid w:val="005D0D0C"/>
    <w:rsid w:val="005D0DB9"/>
    <w:rsid w:val="005D1213"/>
    <w:rsid w:val="005D13F5"/>
    <w:rsid w:val="005D1A1D"/>
    <w:rsid w:val="005D1C25"/>
    <w:rsid w:val="005D2327"/>
    <w:rsid w:val="005D242D"/>
    <w:rsid w:val="005D2805"/>
    <w:rsid w:val="005D2B2A"/>
    <w:rsid w:val="005D3764"/>
    <w:rsid w:val="005D3AC8"/>
    <w:rsid w:val="005D3DB0"/>
    <w:rsid w:val="005D4A3E"/>
    <w:rsid w:val="005D4C1F"/>
    <w:rsid w:val="005D5FCC"/>
    <w:rsid w:val="005D66FC"/>
    <w:rsid w:val="005D7165"/>
    <w:rsid w:val="005D7F77"/>
    <w:rsid w:val="005E028D"/>
    <w:rsid w:val="005E052D"/>
    <w:rsid w:val="005E142F"/>
    <w:rsid w:val="005E5C97"/>
    <w:rsid w:val="005E6479"/>
    <w:rsid w:val="005E6E39"/>
    <w:rsid w:val="005E70F8"/>
    <w:rsid w:val="005E7979"/>
    <w:rsid w:val="005F08FA"/>
    <w:rsid w:val="005F0D9F"/>
    <w:rsid w:val="005F1F4D"/>
    <w:rsid w:val="005F53B2"/>
    <w:rsid w:val="005F575E"/>
    <w:rsid w:val="005F5DD8"/>
    <w:rsid w:val="005F66F5"/>
    <w:rsid w:val="005F6ADF"/>
    <w:rsid w:val="005F6D90"/>
    <w:rsid w:val="005F735C"/>
    <w:rsid w:val="005F73AE"/>
    <w:rsid w:val="005F7730"/>
    <w:rsid w:val="005F7A2A"/>
    <w:rsid w:val="0060009D"/>
    <w:rsid w:val="00600D4D"/>
    <w:rsid w:val="00602B87"/>
    <w:rsid w:val="0060309A"/>
    <w:rsid w:val="00603CEA"/>
    <w:rsid w:val="00605657"/>
    <w:rsid w:val="00605D98"/>
    <w:rsid w:val="006061AC"/>
    <w:rsid w:val="0060761F"/>
    <w:rsid w:val="00607BEA"/>
    <w:rsid w:val="00607DD4"/>
    <w:rsid w:val="00607F46"/>
    <w:rsid w:val="00610159"/>
    <w:rsid w:val="006122DD"/>
    <w:rsid w:val="0061240F"/>
    <w:rsid w:val="00612873"/>
    <w:rsid w:val="00613510"/>
    <w:rsid w:val="00613C60"/>
    <w:rsid w:val="00615952"/>
    <w:rsid w:val="00616CA4"/>
    <w:rsid w:val="00617D36"/>
    <w:rsid w:val="00622050"/>
    <w:rsid w:val="00622B6D"/>
    <w:rsid w:val="00622BE1"/>
    <w:rsid w:val="00622E1F"/>
    <w:rsid w:val="00623003"/>
    <w:rsid w:val="00623051"/>
    <w:rsid w:val="006243AF"/>
    <w:rsid w:val="00624594"/>
    <w:rsid w:val="006252C6"/>
    <w:rsid w:val="00625384"/>
    <w:rsid w:val="00626724"/>
    <w:rsid w:val="00626CDF"/>
    <w:rsid w:val="00627D18"/>
    <w:rsid w:val="00631F63"/>
    <w:rsid w:val="00633B0A"/>
    <w:rsid w:val="00635DCA"/>
    <w:rsid w:val="00636054"/>
    <w:rsid w:val="00636591"/>
    <w:rsid w:val="006365CE"/>
    <w:rsid w:val="00637158"/>
    <w:rsid w:val="006376DF"/>
    <w:rsid w:val="006417DE"/>
    <w:rsid w:val="0064332F"/>
    <w:rsid w:val="00643BAD"/>
    <w:rsid w:val="00644FE5"/>
    <w:rsid w:val="006450F2"/>
    <w:rsid w:val="0064626C"/>
    <w:rsid w:val="0064655E"/>
    <w:rsid w:val="00646815"/>
    <w:rsid w:val="00650178"/>
    <w:rsid w:val="0065039D"/>
    <w:rsid w:val="006503B7"/>
    <w:rsid w:val="00650655"/>
    <w:rsid w:val="006515E4"/>
    <w:rsid w:val="006532B5"/>
    <w:rsid w:val="00653382"/>
    <w:rsid w:val="0065353E"/>
    <w:rsid w:val="00653FBA"/>
    <w:rsid w:val="0065452F"/>
    <w:rsid w:val="00654976"/>
    <w:rsid w:val="006550ED"/>
    <w:rsid w:val="006554FF"/>
    <w:rsid w:val="00655DF4"/>
    <w:rsid w:val="00655F28"/>
    <w:rsid w:val="0065665A"/>
    <w:rsid w:val="00656972"/>
    <w:rsid w:val="00656C04"/>
    <w:rsid w:val="0065722E"/>
    <w:rsid w:val="00657556"/>
    <w:rsid w:val="00657679"/>
    <w:rsid w:val="00657E25"/>
    <w:rsid w:val="00660488"/>
    <w:rsid w:val="00661068"/>
    <w:rsid w:val="00661623"/>
    <w:rsid w:val="006623C5"/>
    <w:rsid w:val="00662C49"/>
    <w:rsid w:val="00662D9C"/>
    <w:rsid w:val="00663164"/>
    <w:rsid w:val="006646B4"/>
    <w:rsid w:val="00664B24"/>
    <w:rsid w:val="00665792"/>
    <w:rsid w:val="00666079"/>
    <w:rsid w:val="0066671D"/>
    <w:rsid w:val="00666CEE"/>
    <w:rsid w:val="006676E5"/>
    <w:rsid w:val="00667AE7"/>
    <w:rsid w:val="0067006D"/>
    <w:rsid w:val="00670E77"/>
    <w:rsid w:val="006713EE"/>
    <w:rsid w:val="0067182F"/>
    <w:rsid w:val="006723A8"/>
    <w:rsid w:val="00674232"/>
    <w:rsid w:val="006763D1"/>
    <w:rsid w:val="00676E72"/>
    <w:rsid w:val="00677FA4"/>
    <w:rsid w:val="00680224"/>
    <w:rsid w:val="006803F2"/>
    <w:rsid w:val="00680F22"/>
    <w:rsid w:val="006812F6"/>
    <w:rsid w:val="006813FC"/>
    <w:rsid w:val="006816E3"/>
    <w:rsid w:val="00681818"/>
    <w:rsid w:val="00681A36"/>
    <w:rsid w:val="00682D69"/>
    <w:rsid w:val="00682E72"/>
    <w:rsid w:val="00682E8D"/>
    <w:rsid w:val="006839AD"/>
    <w:rsid w:val="00683DDF"/>
    <w:rsid w:val="00685E7F"/>
    <w:rsid w:val="0068751C"/>
    <w:rsid w:val="00687944"/>
    <w:rsid w:val="00687BE6"/>
    <w:rsid w:val="006900C0"/>
    <w:rsid w:val="00690135"/>
    <w:rsid w:val="00691120"/>
    <w:rsid w:val="00691498"/>
    <w:rsid w:val="006917E0"/>
    <w:rsid w:val="0069188D"/>
    <w:rsid w:val="00692AB5"/>
    <w:rsid w:val="006939F0"/>
    <w:rsid w:val="00694051"/>
    <w:rsid w:val="00694B93"/>
    <w:rsid w:val="00695639"/>
    <w:rsid w:val="006956E7"/>
    <w:rsid w:val="00696AC2"/>
    <w:rsid w:val="00696C88"/>
    <w:rsid w:val="00697425"/>
    <w:rsid w:val="006A11A7"/>
    <w:rsid w:val="006A1A99"/>
    <w:rsid w:val="006A1C6C"/>
    <w:rsid w:val="006A227D"/>
    <w:rsid w:val="006A3141"/>
    <w:rsid w:val="006A3C81"/>
    <w:rsid w:val="006A3E95"/>
    <w:rsid w:val="006A5B7F"/>
    <w:rsid w:val="006A6F86"/>
    <w:rsid w:val="006B177B"/>
    <w:rsid w:val="006B1A18"/>
    <w:rsid w:val="006B1C36"/>
    <w:rsid w:val="006B2475"/>
    <w:rsid w:val="006B313C"/>
    <w:rsid w:val="006B3B75"/>
    <w:rsid w:val="006B3EEF"/>
    <w:rsid w:val="006B4895"/>
    <w:rsid w:val="006B4BBF"/>
    <w:rsid w:val="006B4BD3"/>
    <w:rsid w:val="006B5158"/>
    <w:rsid w:val="006B52C3"/>
    <w:rsid w:val="006B5FC5"/>
    <w:rsid w:val="006B62EB"/>
    <w:rsid w:val="006B6E0F"/>
    <w:rsid w:val="006B7B9C"/>
    <w:rsid w:val="006B7BB9"/>
    <w:rsid w:val="006C018A"/>
    <w:rsid w:val="006C061A"/>
    <w:rsid w:val="006C26A9"/>
    <w:rsid w:val="006C3522"/>
    <w:rsid w:val="006C38DF"/>
    <w:rsid w:val="006C3F96"/>
    <w:rsid w:val="006C5659"/>
    <w:rsid w:val="006C6B97"/>
    <w:rsid w:val="006C7085"/>
    <w:rsid w:val="006C726E"/>
    <w:rsid w:val="006C7BC3"/>
    <w:rsid w:val="006C7D1A"/>
    <w:rsid w:val="006D1974"/>
    <w:rsid w:val="006D2F99"/>
    <w:rsid w:val="006D322E"/>
    <w:rsid w:val="006D3755"/>
    <w:rsid w:val="006D3807"/>
    <w:rsid w:val="006D3B1E"/>
    <w:rsid w:val="006D4247"/>
    <w:rsid w:val="006D50F5"/>
    <w:rsid w:val="006D5DA0"/>
    <w:rsid w:val="006D5DF2"/>
    <w:rsid w:val="006D7AA1"/>
    <w:rsid w:val="006E03E7"/>
    <w:rsid w:val="006E0482"/>
    <w:rsid w:val="006E2707"/>
    <w:rsid w:val="006E304E"/>
    <w:rsid w:val="006E36C0"/>
    <w:rsid w:val="006E3970"/>
    <w:rsid w:val="006E4180"/>
    <w:rsid w:val="006E5164"/>
    <w:rsid w:val="006E6A0A"/>
    <w:rsid w:val="006E7076"/>
    <w:rsid w:val="006E7C61"/>
    <w:rsid w:val="006F0734"/>
    <w:rsid w:val="006F0C96"/>
    <w:rsid w:val="006F1D75"/>
    <w:rsid w:val="006F2E66"/>
    <w:rsid w:val="006F3867"/>
    <w:rsid w:val="006F3B60"/>
    <w:rsid w:val="006F4579"/>
    <w:rsid w:val="006F47D3"/>
    <w:rsid w:val="006F4D94"/>
    <w:rsid w:val="006F50F1"/>
    <w:rsid w:val="006F52AB"/>
    <w:rsid w:val="006F5D02"/>
    <w:rsid w:val="006F7126"/>
    <w:rsid w:val="006F72C0"/>
    <w:rsid w:val="006F79DB"/>
    <w:rsid w:val="0070068D"/>
    <w:rsid w:val="0070106D"/>
    <w:rsid w:val="007014C2"/>
    <w:rsid w:val="007016E7"/>
    <w:rsid w:val="007019E3"/>
    <w:rsid w:val="00701EC2"/>
    <w:rsid w:val="00702730"/>
    <w:rsid w:val="00703127"/>
    <w:rsid w:val="00706A56"/>
    <w:rsid w:val="00706E29"/>
    <w:rsid w:val="00707FD9"/>
    <w:rsid w:val="007102A7"/>
    <w:rsid w:val="00710E08"/>
    <w:rsid w:val="007129FA"/>
    <w:rsid w:val="00712CCA"/>
    <w:rsid w:val="007147C0"/>
    <w:rsid w:val="00714D68"/>
    <w:rsid w:val="00715A24"/>
    <w:rsid w:val="00715CC6"/>
    <w:rsid w:val="00715CF7"/>
    <w:rsid w:val="0071624E"/>
    <w:rsid w:val="00716295"/>
    <w:rsid w:val="007172B3"/>
    <w:rsid w:val="00717305"/>
    <w:rsid w:val="00717554"/>
    <w:rsid w:val="00717679"/>
    <w:rsid w:val="0072044F"/>
    <w:rsid w:val="007207BD"/>
    <w:rsid w:val="0072100E"/>
    <w:rsid w:val="0072136F"/>
    <w:rsid w:val="0072212B"/>
    <w:rsid w:val="00723729"/>
    <w:rsid w:val="00723C3F"/>
    <w:rsid w:val="00724596"/>
    <w:rsid w:val="00724775"/>
    <w:rsid w:val="0072483B"/>
    <w:rsid w:val="00725AE0"/>
    <w:rsid w:val="0072651A"/>
    <w:rsid w:val="00726D32"/>
    <w:rsid w:val="0072763E"/>
    <w:rsid w:val="00731217"/>
    <w:rsid w:val="0073197F"/>
    <w:rsid w:val="007330B7"/>
    <w:rsid w:val="0073371A"/>
    <w:rsid w:val="00734581"/>
    <w:rsid w:val="00735B50"/>
    <w:rsid w:val="007363FF"/>
    <w:rsid w:val="00736C4D"/>
    <w:rsid w:val="007376F7"/>
    <w:rsid w:val="007377D5"/>
    <w:rsid w:val="00737F59"/>
    <w:rsid w:val="00740426"/>
    <w:rsid w:val="00740EED"/>
    <w:rsid w:val="00741C65"/>
    <w:rsid w:val="00741FA2"/>
    <w:rsid w:val="007421E6"/>
    <w:rsid w:val="00743561"/>
    <w:rsid w:val="00743D91"/>
    <w:rsid w:val="007448E6"/>
    <w:rsid w:val="00745D31"/>
    <w:rsid w:val="007466CE"/>
    <w:rsid w:val="00747A08"/>
    <w:rsid w:val="00747BE6"/>
    <w:rsid w:val="00751695"/>
    <w:rsid w:val="00751C12"/>
    <w:rsid w:val="00752491"/>
    <w:rsid w:val="00755852"/>
    <w:rsid w:val="0075625D"/>
    <w:rsid w:val="00756513"/>
    <w:rsid w:val="00757827"/>
    <w:rsid w:val="00757C9B"/>
    <w:rsid w:val="00757CD9"/>
    <w:rsid w:val="007608CA"/>
    <w:rsid w:val="00760A4C"/>
    <w:rsid w:val="00760B6E"/>
    <w:rsid w:val="00761773"/>
    <w:rsid w:val="00761B9B"/>
    <w:rsid w:val="00762231"/>
    <w:rsid w:val="007627E9"/>
    <w:rsid w:val="007628C0"/>
    <w:rsid w:val="00762AC7"/>
    <w:rsid w:val="00763DB8"/>
    <w:rsid w:val="007642A2"/>
    <w:rsid w:val="007643FE"/>
    <w:rsid w:val="007644DE"/>
    <w:rsid w:val="0076453D"/>
    <w:rsid w:val="007647A8"/>
    <w:rsid w:val="0076564F"/>
    <w:rsid w:val="00765FBD"/>
    <w:rsid w:val="007661D7"/>
    <w:rsid w:val="007662AE"/>
    <w:rsid w:val="00766894"/>
    <w:rsid w:val="00766CE0"/>
    <w:rsid w:val="00767542"/>
    <w:rsid w:val="00767C7B"/>
    <w:rsid w:val="00770325"/>
    <w:rsid w:val="007706B5"/>
    <w:rsid w:val="007706F9"/>
    <w:rsid w:val="0077088B"/>
    <w:rsid w:val="00770AAC"/>
    <w:rsid w:val="0077166D"/>
    <w:rsid w:val="00771719"/>
    <w:rsid w:val="00771939"/>
    <w:rsid w:val="007723DC"/>
    <w:rsid w:val="0077296D"/>
    <w:rsid w:val="00772B74"/>
    <w:rsid w:val="0077455E"/>
    <w:rsid w:val="007745CE"/>
    <w:rsid w:val="00774EEA"/>
    <w:rsid w:val="0077552A"/>
    <w:rsid w:val="00775905"/>
    <w:rsid w:val="00776E93"/>
    <w:rsid w:val="00776FA0"/>
    <w:rsid w:val="0077713D"/>
    <w:rsid w:val="00777673"/>
    <w:rsid w:val="00777776"/>
    <w:rsid w:val="00780026"/>
    <w:rsid w:val="00782425"/>
    <w:rsid w:val="007828B7"/>
    <w:rsid w:val="00782CD3"/>
    <w:rsid w:val="007838AD"/>
    <w:rsid w:val="007843F9"/>
    <w:rsid w:val="00784DC4"/>
    <w:rsid w:val="0078520F"/>
    <w:rsid w:val="007852D4"/>
    <w:rsid w:val="0078594D"/>
    <w:rsid w:val="00785A44"/>
    <w:rsid w:val="0078617C"/>
    <w:rsid w:val="00786955"/>
    <w:rsid w:val="007869F9"/>
    <w:rsid w:val="007878E0"/>
    <w:rsid w:val="00787F2C"/>
    <w:rsid w:val="0079007F"/>
    <w:rsid w:val="007906DB"/>
    <w:rsid w:val="00790DB1"/>
    <w:rsid w:val="007926AD"/>
    <w:rsid w:val="007926CB"/>
    <w:rsid w:val="00793A78"/>
    <w:rsid w:val="007941E4"/>
    <w:rsid w:val="007950AF"/>
    <w:rsid w:val="00795839"/>
    <w:rsid w:val="00795F71"/>
    <w:rsid w:val="00796509"/>
    <w:rsid w:val="00797856"/>
    <w:rsid w:val="007979D5"/>
    <w:rsid w:val="007A0307"/>
    <w:rsid w:val="007A1039"/>
    <w:rsid w:val="007A2EC1"/>
    <w:rsid w:val="007A3613"/>
    <w:rsid w:val="007A62C3"/>
    <w:rsid w:val="007A68B6"/>
    <w:rsid w:val="007A695A"/>
    <w:rsid w:val="007A6D65"/>
    <w:rsid w:val="007A6DCA"/>
    <w:rsid w:val="007A799F"/>
    <w:rsid w:val="007B0F11"/>
    <w:rsid w:val="007B1995"/>
    <w:rsid w:val="007B1AE2"/>
    <w:rsid w:val="007B2157"/>
    <w:rsid w:val="007B2F86"/>
    <w:rsid w:val="007B3463"/>
    <w:rsid w:val="007B44BA"/>
    <w:rsid w:val="007B4C44"/>
    <w:rsid w:val="007B5C4D"/>
    <w:rsid w:val="007B5C5B"/>
    <w:rsid w:val="007B678C"/>
    <w:rsid w:val="007B7323"/>
    <w:rsid w:val="007B743B"/>
    <w:rsid w:val="007B7976"/>
    <w:rsid w:val="007C0AF4"/>
    <w:rsid w:val="007C1EB9"/>
    <w:rsid w:val="007C2C07"/>
    <w:rsid w:val="007C32E1"/>
    <w:rsid w:val="007C366E"/>
    <w:rsid w:val="007C4290"/>
    <w:rsid w:val="007C4584"/>
    <w:rsid w:val="007C511A"/>
    <w:rsid w:val="007C5505"/>
    <w:rsid w:val="007C654C"/>
    <w:rsid w:val="007C665B"/>
    <w:rsid w:val="007C6899"/>
    <w:rsid w:val="007C6E25"/>
    <w:rsid w:val="007D1900"/>
    <w:rsid w:val="007D1995"/>
    <w:rsid w:val="007D24A5"/>
    <w:rsid w:val="007D29AB"/>
    <w:rsid w:val="007D2F38"/>
    <w:rsid w:val="007D2F51"/>
    <w:rsid w:val="007D2F92"/>
    <w:rsid w:val="007D337B"/>
    <w:rsid w:val="007D3B3C"/>
    <w:rsid w:val="007D421B"/>
    <w:rsid w:val="007D4691"/>
    <w:rsid w:val="007D4949"/>
    <w:rsid w:val="007D4BAA"/>
    <w:rsid w:val="007D58EC"/>
    <w:rsid w:val="007D6256"/>
    <w:rsid w:val="007D63CD"/>
    <w:rsid w:val="007D67DF"/>
    <w:rsid w:val="007D69B5"/>
    <w:rsid w:val="007D6EC9"/>
    <w:rsid w:val="007D77B9"/>
    <w:rsid w:val="007E0868"/>
    <w:rsid w:val="007E0AA0"/>
    <w:rsid w:val="007E19E0"/>
    <w:rsid w:val="007E26A1"/>
    <w:rsid w:val="007E26F0"/>
    <w:rsid w:val="007E360D"/>
    <w:rsid w:val="007E3B9C"/>
    <w:rsid w:val="007E4786"/>
    <w:rsid w:val="007E4B59"/>
    <w:rsid w:val="007E5034"/>
    <w:rsid w:val="007E521D"/>
    <w:rsid w:val="007E6B23"/>
    <w:rsid w:val="007F0392"/>
    <w:rsid w:val="007F18B2"/>
    <w:rsid w:val="007F2E31"/>
    <w:rsid w:val="007F46F5"/>
    <w:rsid w:val="007F52F3"/>
    <w:rsid w:val="007F535F"/>
    <w:rsid w:val="007F548E"/>
    <w:rsid w:val="007F57E9"/>
    <w:rsid w:val="007F6089"/>
    <w:rsid w:val="007F64AA"/>
    <w:rsid w:val="007F6A2E"/>
    <w:rsid w:val="007F6C40"/>
    <w:rsid w:val="007F6E45"/>
    <w:rsid w:val="007F76E8"/>
    <w:rsid w:val="007F7D7E"/>
    <w:rsid w:val="00800729"/>
    <w:rsid w:val="008015F5"/>
    <w:rsid w:val="00802B0A"/>
    <w:rsid w:val="008032B4"/>
    <w:rsid w:val="0080390D"/>
    <w:rsid w:val="008042AA"/>
    <w:rsid w:val="00804BBE"/>
    <w:rsid w:val="00805574"/>
    <w:rsid w:val="008058B8"/>
    <w:rsid w:val="00805BB2"/>
    <w:rsid w:val="00805CC7"/>
    <w:rsid w:val="00806174"/>
    <w:rsid w:val="0080658F"/>
    <w:rsid w:val="00806D4D"/>
    <w:rsid w:val="00807BA1"/>
    <w:rsid w:val="00811946"/>
    <w:rsid w:val="00811B11"/>
    <w:rsid w:val="0081267B"/>
    <w:rsid w:val="00813AE5"/>
    <w:rsid w:val="0081408F"/>
    <w:rsid w:val="00814222"/>
    <w:rsid w:val="00814B7B"/>
    <w:rsid w:val="008152B6"/>
    <w:rsid w:val="00815BDA"/>
    <w:rsid w:val="0081728A"/>
    <w:rsid w:val="008179FB"/>
    <w:rsid w:val="0082187C"/>
    <w:rsid w:val="00822390"/>
    <w:rsid w:val="00823283"/>
    <w:rsid w:val="00827880"/>
    <w:rsid w:val="00830572"/>
    <w:rsid w:val="0083082E"/>
    <w:rsid w:val="00830CD9"/>
    <w:rsid w:val="00831388"/>
    <w:rsid w:val="00831D22"/>
    <w:rsid w:val="00831F55"/>
    <w:rsid w:val="00832B64"/>
    <w:rsid w:val="00833390"/>
    <w:rsid w:val="008337F5"/>
    <w:rsid w:val="00834210"/>
    <w:rsid w:val="00834DDC"/>
    <w:rsid w:val="0083544D"/>
    <w:rsid w:val="008356CF"/>
    <w:rsid w:val="00835CF4"/>
    <w:rsid w:val="00836D08"/>
    <w:rsid w:val="0083765F"/>
    <w:rsid w:val="00837D76"/>
    <w:rsid w:val="008403F6"/>
    <w:rsid w:val="0084114B"/>
    <w:rsid w:val="00841433"/>
    <w:rsid w:val="008423EF"/>
    <w:rsid w:val="008432DA"/>
    <w:rsid w:val="0084440A"/>
    <w:rsid w:val="00845BFA"/>
    <w:rsid w:val="00846BC0"/>
    <w:rsid w:val="00847E2E"/>
    <w:rsid w:val="00851F46"/>
    <w:rsid w:val="00852919"/>
    <w:rsid w:val="00856656"/>
    <w:rsid w:val="008569E1"/>
    <w:rsid w:val="008577C5"/>
    <w:rsid w:val="00857F1F"/>
    <w:rsid w:val="00860639"/>
    <w:rsid w:val="00861206"/>
    <w:rsid w:val="0086144B"/>
    <w:rsid w:val="0086192E"/>
    <w:rsid w:val="00862528"/>
    <w:rsid w:val="008637DF"/>
    <w:rsid w:val="00864E13"/>
    <w:rsid w:val="00864E81"/>
    <w:rsid w:val="008670D2"/>
    <w:rsid w:val="00867415"/>
    <w:rsid w:val="00867D2D"/>
    <w:rsid w:val="00870E00"/>
    <w:rsid w:val="008720B6"/>
    <w:rsid w:val="00873892"/>
    <w:rsid w:val="00873898"/>
    <w:rsid w:val="008748A4"/>
    <w:rsid w:val="00874C4D"/>
    <w:rsid w:val="00874F67"/>
    <w:rsid w:val="0087526D"/>
    <w:rsid w:val="008757EF"/>
    <w:rsid w:val="00875D0F"/>
    <w:rsid w:val="00876099"/>
    <w:rsid w:val="00876106"/>
    <w:rsid w:val="00877454"/>
    <w:rsid w:val="008775AF"/>
    <w:rsid w:val="00877B93"/>
    <w:rsid w:val="008800FB"/>
    <w:rsid w:val="0088088C"/>
    <w:rsid w:val="008808ED"/>
    <w:rsid w:val="00880B14"/>
    <w:rsid w:val="00880E33"/>
    <w:rsid w:val="008812C7"/>
    <w:rsid w:val="00881489"/>
    <w:rsid w:val="00881651"/>
    <w:rsid w:val="0088207D"/>
    <w:rsid w:val="00882BDC"/>
    <w:rsid w:val="00883A54"/>
    <w:rsid w:val="00883D3E"/>
    <w:rsid w:val="0088503B"/>
    <w:rsid w:val="008854C0"/>
    <w:rsid w:val="0088633B"/>
    <w:rsid w:val="00887BF9"/>
    <w:rsid w:val="00887DD1"/>
    <w:rsid w:val="00890131"/>
    <w:rsid w:val="00891328"/>
    <w:rsid w:val="008932BF"/>
    <w:rsid w:val="00895487"/>
    <w:rsid w:val="0089596E"/>
    <w:rsid w:val="00895B87"/>
    <w:rsid w:val="00897729"/>
    <w:rsid w:val="00897F71"/>
    <w:rsid w:val="008A1C9A"/>
    <w:rsid w:val="008A1D17"/>
    <w:rsid w:val="008A2430"/>
    <w:rsid w:val="008A363C"/>
    <w:rsid w:val="008A4FF4"/>
    <w:rsid w:val="008A51C0"/>
    <w:rsid w:val="008A6FD4"/>
    <w:rsid w:val="008A79EB"/>
    <w:rsid w:val="008B051A"/>
    <w:rsid w:val="008B096B"/>
    <w:rsid w:val="008B0A0A"/>
    <w:rsid w:val="008B0E2C"/>
    <w:rsid w:val="008B0FF8"/>
    <w:rsid w:val="008B16DA"/>
    <w:rsid w:val="008B183C"/>
    <w:rsid w:val="008B1CA4"/>
    <w:rsid w:val="008B234B"/>
    <w:rsid w:val="008B24CE"/>
    <w:rsid w:val="008B2659"/>
    <w:rsid w:val="008B3C33"/>
    <w:rsid w:val="008B3FEA"/>
    <w:rsid w:val="008B4729"/>
    <w:rsid w:val="008B5D36"/>
    <w:rsid w:val="008B61E4"/>
    <w:rsid w:val="008B6C5C"/>
    <w:rsid w:val="008B7562"/>
    <w:rsid w:val="008B78CB"/>
    <w:rsid w:val="008C04FD"/>
    <w:rsid w:val="008C1627"/>
    <w:rsid w:val="008C186F"/>
    <w:rsid w:val="008C2061"/>
    <w:rsid w:val="008C21B9"/>
    <w:rsid w:val="008C2C4F"/>
    <w:rsid w:val="008C3842"/>
    <w:rsid w:val="008C39E6"/>
    <w:rsid w:val="008C3F21"/>
    <w:rsid w:val="008C4DAA"/>
    <w:rsid w:val="008C5E6E"/>
    <w:rsid w:val="008C6A38"/>
    <w:rsid w:val="008C7523"/>
    <w:rsid w:val="008D0339"/>
    <w:rsid w:val="008D0B16"/>
    <w:rsid w:val="008D24A2"/>
    <w:rsid w:val="008D25B4"/>
    <w:rsid w:val="008D298A"/>
    <w:rsid w:val="008D2BC5"/>
    <w:rsid w:val="008D4642"/>
    <w:rsid w:val="008D5EC6"/>
    <w:rsid w:val="008D7F9E"/>
    <w:rsid w:val="008E0F18"/>
    <w:rsid w:val="008E240B"/>
    <w:rsid w:val="008E27BE"/>
    <w:rsid w:val="008E2AB0"/>
    <w:rsid w:val="008E3014"/>
    <w:rsid w:val="008E3E6B"/>
    <w:rsid w:val="008E4527"/>
    <w:rsid w:val="008E4748"/>
    <w:rsid w:val="008E481A"/>
    <w:rsid w:val="008E4F26"/>
    <w:rsid w:val="008E59D4"/>
    <w:rsid w:val="008E5A74"/>
    <w:rsid w:val="008E62DB"/>
    <w:rsid w:val="008E6779"/>
    <w:rsid w:val="008E6A12"/>
    <w:rsid w:val="008E6DCC"/>
    <w:rsid w:val="008E7487"/>
    <w:rsid w:val="008E779A"/>
    <w:rsid w:val="008F0465"/>
    <w:rsid w:val="008F0589"/>
    <w:rsid w:val="008F093F"/>
    <w:rsid w:val="008F0C41"/>
    <w:rsid w:val="008F24BC"/>
    <w:rsid w:val="008F268A"/>
    <w:rsid w:val="008F2839"/>
    <w:rsid w:val="008F3300"/>
    <w:rsid w:val="008F45AD"/>
    <w:rsid w:val="008F4737"/>
    <w:rsid w:val="008F483D"/>
    <w:rsid w:val="008F4918"/>
    <w:rsid w:val="008F4C43"/>
    <w:rsid w:val="008F5325"/>
    <w:rsid w:val="008F58F8"/>
    <w:rsid w:val="008F5D06"/>
    <w:rsid w:val="008F6AB0"/>
    <w:rsid w:val="008F6E89"/>
    <w:rsid w:val="008F74B0"/>
    <w:rsid w:val="008F7556"/>
    <w:rsid w:val="008F772C"/>
    <w:rsid w:val="00900ABC"/>
    <w:rsid w:val="00900CCD"/>
    <w:rsid w:val="00900DE2"/>
    <w:rsid w:val="009011A5"/>
    <w:rsid w:val="009013AD"/>
    <w:rsid w:val="009022CF"/>
    <w:rsid w:val="00902540"/>
    <w:rsid w:val="00902A02"/>
    <w:rsid w:val="00903024"/>
    <w:rsid w:val="0090325F"/>
    <w:rsid w:val="0090360A"/>
    <w:rsid w:val="00903CDD"/>
    <w:rsid w:val="00904227"/>
    <w:rsid w:val="00905122"/>
    <w:rsid w:val="0090560D"/>
    <w:rsid w:val="0090579A"/>
    <w:rsid w:val="009057F5"/>
    <w:rsid w:val="0090597E"/>
    <w:rsid w:val="00905F1F"/>
    <w:rsid w:val="009070E1"/>
    <w:rsid w:val="00910432"/>
    <w:rsid w:val="00910550"/>
    <w:rsid w:val="009105ED"/>
    <w:rsid w:val="00910882"/>
    <w:rsid w:val="00911760"/>
    <w:rsid w:val="00913E01"/>
    <w:rsid w:val="00914978"/>
    <w:rsid w:val="009168CA"/>
    <w:rsid w:val="00916945"/>
    <w:rsid w:val="00920133"/>
    <w:rsid w:val="009206A9"/>
    <w:rsid w:val="00920A60"/>
    <w:rsid w:val="009218A5"/>
    <w:rsid w:val="00921D4A"/>
    <w:rsid w:val="009224BD"/>
    <w:rsid w:val="009227CB"/>
    <w:rsid w:val="00922AD9"/>
    <w:rsid w:val="00923ED1"/>
    <w:rsid w:val="00924A3C"/>
    <w:rsid w:val="00924CC7"/>
    <w:rsid w:val="00924FCE"/>
    <w:rsid w:val="009250BD"/>
    <w:rsid w:val="00926747"/>
    <w:rsid w:val="00926829"/>
    <w:rsid w:val="00926E16"/>
    <w:rsid w:val="00930522"/>
    <w:rsid w:val="009305FA"/>
    <w:rsid w:val="0093097A"/>
    <w:rsid w:val="00930D9F"/>
    <w:rsid w:val="00932545"/>
    <w:rsid w:val="0093271A"/>
    <w:rsid w:val="0093281E"/>
    <w:rsid w:val="009339AC"/>
    <w:rsid w:val="009349E6"/>
    <w:rsid w:val="00934A5E"/>
    <w:rsid w:val="009360B3"/>
    <w:rsid w:val="00936958"/>
    <w:rsid w:val="00937CEF"/>
    <w:rsid w:val="0094000D"/>
    <w:rsid w:val="009405BD"/>
    <w:rsid w:val="00940E2F"/>
    <w:rsid w:val="0094163B"/>
    <w:rsid w:val="00943406"/>
    <w:rsid w:val="00943478"/>
    <w:rsid w:val="00943960"/>
    <w:rsid w:val="00943D94"/>
    <w:rsid w:val="0094516B"/>
    <w:rsid w:val="0094622B"/>
    <w:rsid w:val="009468DE"/>
    <w:rsid w:val="00946CB1"/>
    <w:rsid w:val="009507A4"/>
    <w:rsid w:val="00950875"/>
    <w:rsid w:val="0095097D"/>
    <w:rsid w:val="0095114B"/>
    <w:rsid w:val="0095157A"/>
    <w:rsid w:val="00952AF1"/>
    <w:rsid w:val="00952D7F"/>
    <w:rsid w:val="00953A9E"/>
    <w:rsid w:val="00953AD4"/>
    <w:rsid w:val="00954350"/>
    <w:rsid w:val="00954616"/>
    <w:rsid w:val="00955576"/>
    <w:rsid w:val="0095666A"/>
    <w:rsid w:val="009569B3"/>
    <w:rsid w:val="00956C95"/>
    <w:rsid w:val="009605D1"/>
    <w:rsid w:val="00960D6D"/>
    <w:rsid w:val="0096197D"/>
    <w:rsid w:val="00961BB8"/>
    <w:rsid w:val="00961CDF"/>
    <w:rsid w:val="00962396"/>
    <w:rsid w:val="00962706"/>
    <w:rsid w:val="00962BCB"/>
    <w:rsid w:val="00962E04"/>
    <w:rsid w:val="00962E26"/>
    <w:rsid w:val="009649B6"/>
    <w:rsid w:val="0096533F"/>
    <w:rsid w:val="00966298"/>
    <w:rsid w:val="009663B9"/>
    <w:rsid w:val="00966855"/>
    <w:rsid w:val="00966886"/>
    <w:rsid w:val="0096715F"/>
    <w:rsid w:val="00967689"/>
    <w:rsid w:val="009679ED"/>
    <w:rsid w:val="00967F5E"/>
    <w:rsid w:val="009703C8"/>
    <w:rsid w:val="00971499"/>
    <w:rsid w:val="00971598"/>
    <w:rsid w:val="00971AA1"/>
    <w:rsid w:val="0097214C"/>
    <w:rsid w:val="00972842"/>
    <w:rsid w:val="00972FF6"/>
    <w:rsid w:val="009738AD"/>
    <w:rsid w:val="0097430B"/>
    <w:rsid w:val="00976511"/>
    <w:rsid w:val="00976C49"/>
    <w:rsid w:val="00976CC4"/>
    <w:rsid w:val="00977701"/>
    <w:rsid w:val="00980410"/>
    <w:rsid w:val="00980BFA"/>
    <w:rsid w:val="0098318F"/>
    <w:rsid w:val="00984029"/>
    <w:rsid w:val="0098497B"/>
    <w:rsid w:val="00984B8A"/>
    <w:rsid w:val="00985C90"/>
    <w:rsid w:val="00985E7C"/>
    <w:rsid w:val="0098728F"/>
    <w:rsid w:val="0098770A"/>
    <w:rsid w:val="00987BF9"/>
    <w:rsid w:val="00990B97"/>
    <w:rsid w:val="00991220"/>
    <w:rsid w:val="00992298"/>
    <w:rsid w:val="00992411"/>
    <w:rsid w:val="00992704"/>
    <w:rsid w:val="00992713"/>
    <w:rsid w:val="00992BED"/>
    <w:rsid w:val="00993DCE"/>
    <w:rsid w:val="00994F41"/>
    <w:rsid w:val="009956FF"/>
    <w:rsid w:val="00995AF6"/>
    <w:rsid w:val="00996147"/>
    <w:rsid w:val="00996A5A"/>
    <w:rsid w:val="0099719C"/>
    <w:rsid w:val="009977B1"/>
    <w:rsid w:val="009A009C"/>
    <w:rsid w:val="009A08F5"/>
    <w:rsid w:val="009A189E"/>
    <w:rsid w:val="009A1F3B"/>
    <w:rsid w:val="009A2F5E"/>
    <w:rsid w:val="009A32FD"/>
    <w:rsid w:val="009A3343"/>
    <w:rsid w:val="009A37C3"/>
    <w:rsid w:val="009A414B"/>
    <w:rsid w:val="009A4595"/>
    <w:rsid w:val="009A4BEA"/>
    <w:rsid w:val="009A5063"/>
    <w:rsid w:val="009A517C"/>
    <w:rsid w:val="009A6A84"/>
    <w:rsid w:val="009A6FFB"/>
    <w:rsid w:val="009A71A0"/>
    <w:rsid w:val="009B0CBD"/>
    <w:rsid w:val="009B1495"/>
    <w:rsid w:val="009B1B20"/>
    <w:rsid w:val="009B2351"/>
    <w:rsid w:val="009B2CD2"/>
    <w:rsid w:val="009B2F98"/>
    <w:rsid w:val="009B308F"/>
    <w:rsid w:val="009B4295"/>
    <w:rsid w:val="009B4EED"/>
    <w:rsid w:val="009B561C"/>
    <w:rsid w:val="009B7207"/>
    <w:rsid w:val="009B789E"/>
    <w:rsid w:val="009C049B"/>
    <w:rsid w:val="009C05C4"/>
    <w:rsid w:val="009C09E1"/>
    <w:rsid w:val="009C0A88"/>
    <w:rsid w:val="009C14A9"/>
    <w:rsid w:val="009C210F"/>
    <w:rsid w:val="009C2769"/>
    <w:rsid w:val="009C2C8E"/>
    <w:rsid w:val="009C3CA8"/>
    <w:rsid w:val="009C4FDD"/>
    <w:rsid w:val="009C607A"/>
    <w:rsid w:val="009C6BDA"/>
    <w:rsid w:val="009C71E9"/>
    <w:rsid w:val="009D034B"/>
    <w:rsid w:val="009D04C4"/>
    <w:rsid w:val="009D0F1C"/>
    <w:rsid w:val="009D0FD1"/>
    <w:rsid w:val="009D22B3"/>
    <w:rsid w:val="009D2377"/>
    <w:rsid w:val="009D3281"/>
    <w:rsid w:val="009D3C2C"/>
    <w:rsid w:val="009D41A3"/>
    <w:rsid w:val="009D4305"/>
    <w:rsid w:val="009D5004"/>
    <w:rsid w:val="009D7593"/>
    <w:rsid w:val="009D77B4"/>
    <w:rsid w:val="009E1640"/>
    <w:rsid w:val="009E19F3"/>
    <w:rsid w:val="009E373D"/>
    <w:rsid w:val="009E596D"/>
    <w:rsid w:val="009E5C17"/>
    <w:rsid w:val="009E6147"/>
    <w:rsid w:val="009E7013"/>
    <w:rsid w:val="009F0A13"/>
    <w:rsid w:val="009F0E0D"/>
    <w:rsid w:val="009F39D5"/>
    <w:rsid w:val="009F44E9"/>
    <w:rsid w:val="009F5264"/>
    <w:rsid w:val="009F69E3"/>
    <w:rsid w:val="009F70EA"/>
    <w:rsid w:val="009F71B6"/>
    <w:rsid w:val="009F7B80"/>
    <w:rsid w:val="009F7BCE"/>
    <w:rsid w:val="009F7F1C"/>
    <w:rsid w:val="00A007BD"/>
    <w:rsid w:val="00A00AF1"/>
    <w:rsid w:val="00A0440B"/>
    <w:rsid w:val="00A04A3D"/>
    <w:rsid w:val="00A05A10"/>
    <w:rsid w:val="00A05E41"/>
    <w:rsid w:val="00A05E93"/>
    <w:rsid w:val="00A065EC"/>
    <w:rsid w:val="00A066DD"/>
    <w:rsid w:val="00A105AF"/>
    <w:rsid w:val="00A10D50"/>
    <w:rsid w:val="00A115F2"/>
    <w:rsid w:val="00A128F4"/>
    <w:rsid w:val="00A12982"/>
    <w:rsid w:val="00A13D37"/>
    <w:rsid w:val="00A14238"/>
    <w:rsid w:val="00A14A40"/>
    <w:rsid w:val="00A152A2"/>
    <w:rsid w:val="00A16566"/>
    <w:rsid w:val="00A17219"/>
    <w:rsid w:val="00A179AC"/>
    <w:rsid w:val="00A17A42"/>
    <w:rsid w:val="00A17FD4"/>
    <w:rsid w:val="00A20CB8"/>
    <w:rsid w:val="00A210E6"/>
    <w:rsid w:val="00A21CAB"/>
    <w:rsid w:val="00A22368"/>
    <w:rsid w:val="00A22AD0"/>
    <w:rsid w:val="00A25AF4"/>
    <w:rsid w:val="00A25CA4"/>
    <w:rsid w:val="00A25D06"/>
    <w:rsid w:val="00A270E7"/>
    <w:rsid w:val="00A30584"/>
    <w:rsid w:val="00A30E8E"/>
    <w:rsid w:val="00A31E24"/>
    <w:rsid w:val="00A32814"/>
    <w:rsid w:val="00A33413"/>
    <w:rsid w:val="00A33566"/>
    <w:rsid w:val="00A33A37"/>
    <w:rsid w:val="00A33C59"/>
    <w:rsid w:val="00A33D52"/>
    <w:rsid w:val="00A342BA"/>
    <w:rsid w:val="00A34965"/>
    <w:rsid w:val="00A3498A"/>
    <w:rsid w:val="00A34B7B"/>
    <w:rsid w:val="00A34BBE"/>
    <w:rsid w:val="00A35E68"/>
    <w:rsid w:val="00A35F59"/>
    <w:rsid w:val="00A36974"/>
    <w:rsid w:val="00A36BD3"/>
    <w:rsid w:val="00A36E70"/>
    <w:rsid w:val="00A3755B"/>
    <w:rsid w:val="00A37694"/>
    <w:rsid w:val="00A40F56"/>
    <w:rsid w:val="00A4106B"/>
    <w:rsid w:val="00A41B80"/>
    <w:rsid w:val="00A42F09"/>
    <w:rsid w:val="00A432BC"/>
    <w:rsid w:val="00A439EE"/>
    <w:rsid w:val="00A44A07"/>
    <w:rsid w:val="00A44E60"/>
    <w:rsid w:val="00A45AC9"/>
    <w:rsid w:val="00A45E7E"/>
    <w:rsid w:val="00A461C1"/>
    <w:rsid w:val="00A46F48"/>
    <w:rsid w:val="00A47DE3"/>
    <w:rsid w:val="00A500E5"/>
    <w:rsid w:val="00A515B9"/>
    <w:rsid w:val="00A52878"/>
    <w:rsid w:val="00A52CE4"/>
    <w:rsid w:val="00A52E2C"/>
    <w:rsid w:val="00A531DB"/>
    <w:rsid w:val="00A54309"/>
    <w:rsid w:val="00A54882"/>
    <w:rsid w:val="00A54B42"/>
    <w:rsid w:val="00A5596F"/>
    <w:rsid w:val="00A56788"/>
    <w:rsid w:val="00A56E96"/>
    <w:rsid w:val="00A570F4"/>
    <w:rsid w:val="00A573DA"/>
    <w:rsid w:val="00A57E08"/>
    <w:rsid w:val="00A60D87"/>
    <w:rsid w:val="00A6128D"/>
    <w:rsid w:val="00A61950"/>
    <w:rsid w:val="00A638A7"/>
    <w:rsid w:val="00A6393B"/>
    <w:rsid w:val="00A639EA"/>
    <w:rsid w:val="00A64018"/>
    <w:rsid w:val="00A6541F"/>
    <w:rsid w:val="00A65B25"/>
    <w:rsid w:val="00A65FD8"/>
    <w:rsid w:val="00A6653B"/>
    <w:rsid w:val="00A668E2"/>
    <w:rsid w:val="00A66958"/>
    <w:rsid w:val="00A66BEA"/>
    <w:rsid w:val="00A6741C"/>
    <w:rsid w:val="00A67A88"/>
    <w:rsid w:val="00A709FA"/>
    <w:rsid w:val="00A70C91"/>
    <w:rsid w:val="00A71859"/>
    <w:rsid w:val="00A7223F"/>
    <w:rsid w:val="00A7267B"/>
    <w:rsid w:val="00A72A17"/>
    <w:rsid w:val="00A7372B"/>
    <w:rsid w:val="00A73B6B"/>
    <w:rsid w:val="00A73FCE"/>
    <w:rsid w:val="00A7403E"/>
    <w:rsid w:val="00A742D6"/>
    <w:rsid w:val="00A742F3"/>
    <w:rsid w:val="00A7519C"/>
    <w:rsid w:val="00A751AC"/>
    <w:rsid w:val="00A75BED"/>
    <w:rsid w:val="00A76043"/>
    <w:rsid w:val="00A77087"/>
    <w:rsid w:val="00A80C04"/>
    <w:rsid w:val="00A816A0"/>
    <w:rsid w:val="00A817B6"/>
    <w:rsid w:val="00A8182B"/>
    <w:rsid w:val="00A820FF"/>
    <w:rsid w:val="00A837C0"/>
    <w:rsid w:val="00A83866"/>
    <w:rsid w:val="00A85A30"/>
    <w:rsid w:val="00A860FC"/>
    <w:rsid w:val="00A86DB1"/>
    <w:rsid w:val="00A8790F"/>
    <w:rsid w:val="00A9118F"/>
    <w:rsid w:val="00A91580"/>
    <w:rsid w:val="00A9233F"/>
    <w:rsid w:val="00A92882"/>
    <w:rsid w:val="00A92D29"/>
    <w:rsid w:val="00A92E55"/>
    <w:rsid w:val="00A9657E"/>
    <w:rsid w:val="00A97774"/>
    <w:rsid w:val="00AA0A7D"/>
    <w:rsid w:val="00AA24AC"/>
    <w:rsid w:val="00AA2DA3"/>
    <w:rsid w:val="00AA4832"/>
    <w:rsid w:val="00AA4A23"/>
    <w:rsid w:val="00AA4D00"/>
    <w:rsid w:val="00AA4ED0"/>
    <w:rsid w:val="00AA57C7"/>
    <w:rsid w:val="00AA69D5"/>
    <w:rsid w:val="00AA6F9A"/>
    <w:rsid w:val="00AA7B10"/>
    <w:rsid w:val="00AB0752"/>
    <w:rsid w:val="00AB0A5E"/>
    <w:rsid w:val="00AB17CB"/>
    <w:rsid w:val="00AB2CF0"/>
    <w:rsid w:val="00AB3015"/>
    <w:rsid w:val="00AB4276"/>
    <w:rsid w:val="00AB4D8D"/>
    <w:rsid w:val="00AB5341"/>
    <w:rsid w:val="00AB550D"/>
    <w:rsid w:val="00AB59EA"/>
    <w:rsid w:val="00AB5AB4"/>
    <w:rsid w:val="00AB72B1"/>
    <w:rsid w:val="00AB7789"/>
    <w:rsid w:val="00AC0D5A"/>
    <w:rsid w:val="00AC3DD3"/>
    <w:rsid w:val="00AC5323"/>
    <w:rsid w:val="00AC5EDC"/>
    <w:rsid w:val="00AC63AC"/>
    <w:rsid w:val="00AC7265"/>
    <w:rsid w:val="00AC7701"/>
    <w:rsid w:val="00AD0280"/>
    <w:rsid w:val="00AD3265"/>
    <w:rsid w:val="00AD4F2A"/>
    <w:rsid w:val="00AD5BD4"/>
    <w:rsid w:val="00AD65D7"/>
    <w:rsid w:val="00AD681B"/>
    <w:rsid w:val="00AD69F6"/>
    <w:rsid w:val="00AD6CC6"/>
    <w:rsid w:val="00AD7467"/>
    <w:rsid w:val="00AE0790"/>
    <w:rsid w:val="00AE230A"/>
    <w:rsid w:val="00AE255F"/>
    <w:rsid w:val="00AE352D"/>
    <w:rsid w:val="00AE55D6"/>
    <w:rsid w:val="00AE56CE"/>
    <w:rsid w:val="00AE6758"/>
    <w:rsid w:val="00AE78D4"/>
    <w:rsid w:val="00AF018D"/>
    <w:rsid w:val="00AF045E"/>
    <w:rsid w:val="00AF10B3"/>
    <w:rsid w:val="00AF1BAF"/>
    <w:rsid w:val="00AF3222"/>
    <w:rsid w:val="00AF387F"/>
    <w:rsid w:val="00AF38DA"/>
    <w:rsid w:val="00AF41BA"/>
    <w:rsid w:val="00AF4503"/>
    <w:rsid w:val="00AF4555"/>
    <w:rsid w:val="00AF45F3"/>
    <w:rsid w:val="00AF4E3D"/>
    <w:rsid w:val="00AF50D2"/>
    <w:rsid w:val="00AF57FA"/>
    <w:rsid w:val="00AF71BF"/>
    <w:rsid w:val="00AF7273"/>
    <w:rsid w:val="00B00458"/>
    <w:rsid w:val="00B00464"/>
    <w:rsid w:val="00B00BA4"/>
    <w:rsid w:val="00B00D3B"/>
    <w:rsid w:val="00B0150D"/>
    <w:rsid w:val="00B01D29"/>
    <w:rsid w:val="00B026E3"/>
    <w:rsid w:val="00B02714"/>
    <w:rsid w:val="00B02CAB"/>
    <w:rsid w:val="00B03FC2"/>
    <w:rsid w:val="00B0437D"/>
    <w:rsid w:val="00B04D09"/>
    <w:rsid w:val="00B04EC3"/>
    <w:rsid w:val="00B105E1"/>
    <w:rsid w:val="00B10B5F"/>
    <w:rsid w:val="00B112A7"/>
    <w:rsid w:val="00B114EC"/>
    <w:rsid w:val="00B1162F"/>
    <w:rsid w:val="00B11C94"/>
    <w:rsid w:val="00B11E27"/>
    <w:rsid w:val="00B1301A"/>
    <w:rsid w:val="00B145C3"/>
    <w:rsid w:val="00B155C2"/>
    <w:rsid w:val="00B15965"/>
    <w:rsid w:val="00B15BDB"/>
    <w:rsid w:val="00B171E2"/>
    <w:rsid w:val="00B177DE"/>
    <w:rsid w:val="00B17BE6"/>
    <w:rsid w:val="00B201F2"/>
    <w:rsid w:val="00B20D5F"/>
    <w:rsid w:val="00B22583"/>
    <w:rsid w:val="00B22D86"/>
    <w:rsid w:val="00B232CE"/>
    <w:rsid w:val="00B2336A"/>
    <w:rsid w:val="00B24652"/>
    <w:rsid w:val="00B2497F"/>
    <w:rsid w:val="00B24B6F"/>
    <w:rsid w:val="00B257BA"/>
    <w:rsid w:val="00B30D9E"/>
    <w:rsid w:val="00B3134C"/>
    <w:rsid w:val="00B328A5"/>
    <w:rsid w:val="00B333B2"/>
    <w:rsid w:val="00B333DC"/>
    <w:rsid w:val="00B33B34"/>
    <w:rsid w:val="00B33BDD"/>
    <w:rsid w:val="00B3497A"/>
    <w:rsid w:val="00B34AF2"/>
    <w:rsid w:val="00B34EAD"/>
    <w:rsid w:val="00B35535"/>
    <w:rsid w:val="00B35E00"/>
    <w:rsid w:val="00B35FC3"/>
    <w:rsid w:val="00B36C4D"/>
    <w:rsid w:val="00B371EC"/>
    <w:rsid w:val="00B37A67"/>
    <w:rsid w:val="00B4094F"/>
    <w:rsid w:val="00B4357F"/>
    <w:rsid w:val="00B43DFF"/>
    <w:rsid w:val="00B44077"/>
    <w:rsid w:val="00B447AB"/>
    <w:rsid w:val="00B45407"/>
    <w:rsid w:val="00B457C8"/>
    <w:rsid w:val="00B45ECB"/>
    <w:rsid w:val="00B47920"/>
    <w:rsid w:val="00B47B37"/>
    <w:rsid w:val="00B504E6"/>
    <w:rsid w:val="00B507BB"/>
    <w:rsid w:val="00B50CAB"/>
    <w:rsid w:val="00B51650"/>
    <w:rsid w:val="00B51756"/>
    <w:rsid w:val="00B51E74"/>
    <w:rsid w:val="00B521D2"/>
    <w:rsid w:val="00B52270"/>
    <w:rsid w:val="00B53110"/>
    <w:rsid w:val="00B53B62"/>
    <w:rsid w:val="00B54228"/>
    <w:rsid w:val="00B5511B"/>
    <w:rsid w:val="00B55312"/>
    <w:rsid w:val="00B55C09"/>
    <w:rsid w:val="00B56B6E"/>
    <w:rsid w:val="00B572E9"/>
    <w:rsid w:val="00B577CB"/>
    <w:rsid w:val="00B579C2"/>
    <w:rsid w:val="00B57F84"/>
    <w:rsid w:val="00B6013A"/>
    <w:rsid w:val="00B60C4D"/>
    <w:rsid w:val="00B618FA"/>
    <w:rsid w:val="00B62715"/>
    <w:rsid w:val="00B62D3D"/>
    <w:rsid w:val="00B62DF8"/>
    <w:rsid w:val="00B64E66"/>
    <w:rsid w:val="00B6548B"/>
    <w:rsid w:val="00B65E7A"/>
    <w:rsid w:val="00B65EB1"/>
    <w:rsid w:val="00B66369"/>
    <w:rsid w:val="00B66872"/>
    <w:rsid w:val="00B66DE3"/>
    <w:rsid w:val="00B67E35"/>
    <w:rsid w:val="00B67F8B"/>
    <w:rsid w:val="00B70DDD"/>
    <w:rsid w:val="00B71210"/>
    <w:rsid w:val="00B73315"/>
    <w:rsid w:val="00B73C11"/>
    <w:rsid w:val="00B7455E"/>
    <w:rsid w:val="00B74813"/>
    <w:rsid w:val="00B7540F"/>
    <w:rsid w:val="00B755F4"/>
    <w:rsid w:val="00B760D8"/>
    <w:rsid w:val="00B76936"/>
    <w:rsid w:val="00B76D74"/>
    <w:rsid w:val="00B77098"/>
    <w:rsid w:val="00B77487"/>
    <w:rsid w:val="00B77BE4"/>
    <w:rsid w:val="00B77D68"/>
    <w:rsid w:val="00B80EC8"/>
    <w:rsid w:val="00B812DC"/>
    <w:rsid w:val="00B81B6D"/>
    <w:rsid w:val="00B82C86"/>
    <w:rsid w:val="00B83100"/>
    <w:rsid w:val="00B83C5E"/>
    <w:rsid w:val="00B83EF7"/>
    <w:rsid w:val="00B852E7"/>
    <w:rsid w:val="00B86233"/>
    <w:rsid w:val="00B86C0D"/>
    <w:rsid w:val="00B87146"/>
    <w:rsid w:val="00B91C1F"/>
    <w:rsid w:val="00B92630"/>
    <w:rsid w:val="00B9288B"/>
    <w:rsid w:val="00B92CA3"/>
    <w:rsid w:val="00B93952"/>
    <w:rsid w:val="00B9430D"/>
    <w:rsid w:val="00B94515"/>
    <w:rsid w:val="00B949AA"/>
    <w:rsid w:val="00B95119"/>
    <w:rsid w:val="00B95B3C"/>
    <w:rsid w:val="00B95DDE"/>
    <w:rsid w:val="00BA02AD"/>
    <w:rsid w:val="00BA1273"/>
    <w:rsid w:val="00BA1B48"/>
    <w:rsid w:val="00BA33CD"/>
    <w:rsid w:val="00BA367D"/>
    <w:rsid w:val="00BA4403"/>
    <w:rsid w:val="00BA4968"/>
    <w:rsid w:val="00BA604D"/>
    <w:rsid w:val="00BA69CB"/>
    <w:rsid w:val="00BA7A31"/>
    <w:rsid w:val="00BB001D"/>
    <w:rsid w:val="00BB045E"/>
    <w:rsid w:val="00BB0B71"/>
    <w:rsid w:val="00BB19F5"/>
    <w:rsid w:val="00BB1ABE"/>
    <w:rsid w:val="00BB1B08"/>
    <w:rsid w:val="00BB2F4C"/>
    <w:rsid w:val="00BB2F5F"/>
    <w:rsid w:val="00BB304D"/>
    <w:rsid w:val="00BB3444"/>
    <w:rsid w:val="00BB3979"/>
    <w:rsid w:val="00BB4A7E"/>
    <w:rsid w:val="00BB5586"/>
    <w:rsid w:val="00BB5AEE"/>
    <w:rsid w:val="00BB6039"/>
    <w:rsid w:val="00BB66F6"/>
    <w:rsid w:val="00BB7EB5"/>
    <w:rsid w:val="00BC06F8"/>
    <w:rsid w:val="00BC1493"/>
    <w:rsid w:val="00BC16FB"/>
    <w:rsid w:val="00BC1A0A"/>
    <w:rsid w:val="00BC2391"/>
    <w:rsid w:val="00BC322A"/>
    <w:rsid w:val="00BC3A95"/>
    <w:rsid w:val="00BC4110"/>
    <w:rsid w:val="00BC4A39"/>
    <w:rsid w:val="00BC4F77"/>
    <w:rsid w:val="00BC521A"/>
    <w:rsid w:val="00BC52B5"/>
    <w:rsid w:val="00BC5531"/>
    <w:rsid w:val="00BC597C"/>
    <w:rsid w:val="00BC5E9D"/>
    <w:rsid w:val="00BC5FF4"/>
    <w:rsid w:val="00BC66D9"/>
    <w:rsid w:val="00BC71F7"/>
    <w:rsid w:val="00BC77C6"/>
    <w:rsid w:val="00BC7EBB"/>
    <w:rsid w:val="00BD0D9B"/>
    <w:rsid w:val="00BD0DC3"/>
    <w:rsid w:val="00BD124C"/>
    <w:rsid w:val="00BD184A"/>
    <w:rsid w:val="00BD1CD3"/>
    <w:rsid w:val="00BD23FC"/>
    <w:rsid w:val="00BD24BF"/>
    <w:rsid w:val="00BD27B0"/>
    <w:rsid w:val="00BD2B1E"/>
    <w:rsid w:val="00BD2B81"/>
    <w:rsid w:val="00BD2F4B"/>
    <w:rsid w:val="00BD329B"/>
    <w:rsid w:val="00BD3F28"/>
    <w:rsid w:val="00BD508E"/>
    <w:rsid w:val="00BD5564"/>
    <w:rsid w:val="00BD5E0F"/>
    <w:rsid w:val="00BD62FB"/>
    <w:rsid w:val="00BD6544"/>
    <w:rsid w:val="00BE03C0"/>
    <w:rsid w:val="00BE0EE5"/>
    <w:rsid w:val="00BE1E82"/>
    <w:rsid w:val="00BE250E"/>
    <w:rsid w:val="00BE2A47"/>
    <w:rsid w:val="00BE5073"/>
    <w:rsid w:val="00BE6E8A"/>
    <w:rsid w:val="00BE7838"/>
    <w:rsid w:val="00BE7965"/>
    <w:rsid w:val="00BF2C40"/>
    <w:rsid w:val="00BF3AD5"/>
    <w:rsid w:val="00BF419A"/>
    <w:rsid w:val="00BF4680"/>
    <w:rsid w:val="00BF48AC"/>
    <w:rsid w:val="00BF4CBE"/>
    <w:rsid w:val="00BF705E"/>
    <w:rsid w:val="00BF705F"/>
    <w:rsid w:val="00BF7408"/>
    <w:rsid w:val="00C00082"/>
    <w:rsid w:val="00C00320"/>
    <w:rsid w:val="00C028F2"/>
    <w:rsid w:val="00C02B4C"/>
    <w:rsid w:val="00C02DDE"/>
    <w:rsid w:val="00C02F93"/>
    <w:rsid w:val="00C03166"/>
    <w:rsid w:val="00C033F5"/>
    <w:rsid w:val="00C036EF"/>
    <w:rsid w:val="00C04CF3"/>
    <w:rsid w:val="00C04DC8"/>
    <w:rsid w:val="00C05205"/>
    <w:rsid w:val="00C06FF3"/>
    <w:rsid w:val="00C07081"/>
    <w:rsid w:val="00C07114"/>
    <w:rsid w:val="00C07693"/>
    <w:rsid w:val="00C07A32"/>
    <w:rsid w:val="00C1016B"/>
    <w:rsid w:val="00C10355"/>
    <w:rsid w:val="00C1075F"/>
    <w:rsid w:val="00C10DE5"/>
    <w:rsid w:val="00C111BB"/>
    <w:rsid w:val="00C11439"/>
    <w:rsid w:val="00C118CD"/>
    <w:rsid w:val="00C11E20"/>
    <w:rsid w:val="00C16933"/>
    <w:rsid w:val="00C17594"/>
    <w:rsid w:val="00C207DB"/>
    <w:rsid w:val="00C20CC7"/>
    <w:rsid w:val="00C20DFF"/>
    <w:rsid w:val="00C22389"/>
    <w:rsid w:val="00C23B88"/>
    <w:rsid w:val="00C23F9B"/>
    <w:rsid w:val="00C24B0D"/>
    <w:rsid w:val="00C24EB0"/>
    <w:rsid w:val="00C25440"/>
    <w:rsid w:val="00C2636D"/>
    <w:rsid w:val="00C26EB5"/>
    <w:rsid w:val="00C2724F"/>
    <w:rsid w:val="00C30082"/>
    <w:rsid w:val="00C3093F"/>
    <w:rsid w:val="00C30C9C"/>
    <w:rsid w:val="00C310F9"/>
    <w:rsid w:val="00C3131C"/>
    <w:rsid w:val="00C31828"/>
    <w:rsid w:val="00C31BC9"/>
    <w:rsid w:val="00C3216D"/>
    <w:rsid w:val="00C326AF"/>
    <w:rsid w:val="00C32930"/>
    <w:rsid w:val="00C33361"/>
    <w:rsid w:val="00C33656"/>
    <w:rsid w:val="00C33C6E"/>
    <w:rsid w:val="00C34019"/>
    <w:rsid w:val="00C34963"/>
    <w:rsid w:val="00C34C07"/>
    <w:rsid w:val="00C353C7"/>
    <w:rsid w:val="00C36013"/>
    <w:rsid w:val="00C36298"/>
    <w:rsid w:val="00C3647A"/>
    <w:rsid w:val="00C3657E"/>
    <w:rsid w:val="00C3796D"/>
    <w:rsid w:val="00C4025E"/>
    <w:rsid w:val="00C4083D"/>
    <w:rsid w:val="00C41080"/>
    <w:rsid w:val="00C411BD"/>
    <w:rsid w:val="00C4191A"/>
    <w:rsid w:val="00C419DB"/>
    <w:rsid w:val="00C41B8D"/>
    <w:rsid w:val="00C41D2E"/>
    <w:rsid w:val="00C42943"/>
    <w:rsid w:val="00C43AC3"/>
    <w:rsid w:val="00C465AE"/>
    <w:rsid w:val="00C477A0"/>
    <w:rsid w:val="00C47A48"/>
    <w:rsid w:val="00C500A5"/>
    <w:rsid w:val="00C506BC"/>
    <w:rsid w:val="00C50E28"/>
    <w:rsid w:val="00C51246"/>
    <w:rsid w:val="00C51F72"/>
    <w:rsid w:val="00C520BC"/>
    <w:rsid w:val="00C5235A"/>
    <w:rsid w:val="00C539D6"/>
    <w:rsid w:val="00C54241"/>
    <w:rsid w:val="00C544AD"/>
    <w:rsid w:val="00C5465A"/>
    <w:rsid w:val="00C5604B"/>
    <w:rsid w:val="00C570AC"/>
    <w:rsid w:val="00C600A9"/>
    <w:rsid w:val="00C614E3"/>
    <w:rsid w:val="00C615BD"/>
    <w:rsid w:val="00C62253"/>
    <w:rsid w:val="00C62473"/>
    <w:rsid w:val="00C63965"/>
    <w:rsid w:val="00C6450E"/>
    <w:rsid w:val="00C648E9"/>
    <w:rsid w:val="00C6506F"/>
    <w:rsid w:val="00C65912"/>
    <w:rsid w:val="00C65AB3"/>
    <w:rsid w:val="00C66C82"/>
    <w:rsid w:val="00C66E0C"/>
    <w:rsid w:val="00C67D25"/>
    <w:rsid w:val="00C67EC0"/>
    <w:rsid w:val="00C70520"/>
    <w:rsid w:val="00C70823"/>
    <w:rsid w:val="00C70B1D"/>
    <w:rsid w:val="00C713AA"/>
    <w:rsid w:val="00C716EA"/>
    <w:rsid w:val="00C72534"/>
    <w:rsid w:val="00C7334E"/>
    <w:rsid w:val="00C74401"/>
    <w:rsid w:val="00C746C7"/>
    <w:rsid w:val="00C748C0"/>
    <w:rsid w:val="00C74DFF"/>
    <w:rsid w:val="00C762D3"/>
    <w:rsid w:val="00C76687"/>
    <w:rsid w:val="00C76BBF"/>
    <w:rsid w:val="00C77186"/>
    <w:rsid w:val="00C77443"/>
    <w:rsid w:val="00C81020"/>
    <w:rsid w:val="00C82DA1"/>
    <w:rsid w:val="00C8321E"/>
    <w:rsid w:val="00C85240"/>
    <w:rsid w:val="00C85AF9"/>
    <w:rsid w:val="00C85D32"/>
    <w:rsid w:val="00C86F0A"/>
    <w:rsid w:val="00C87453"/>
    <w:rsid w:val="00C9123C"/>
    <w:rsid w:val="00C91DCD"/>
    <w:rsid w:val="00C91FB4"/>
    <w:rsid w:val="00C929AC"/>
    <w:rsid w:val="00C932A1"/>
    <w:rsid w:val="00C934B4"/>
    <w:rsid w:val="00C9460F"/>
    <w:rsid w:val="00C963A1"/>
    <w:rsid w:val="00C9651A"/>
    <w:rsid w:val="00C966D2"/>
    <w:rsid w:val="00C96EC8"/>
    <w:rsid w:val="00C97002"/>
    <w:rsid w:val="00C97262"/>
    <w:rsid w:val="00C975F7"/>
    <w:rsid w:val="00CA04CA"/>
    <w:rsid w:val="00CA0551"/>
    <w:rsid w:val="00CA0FDC"/>
    <w:rsid w:val="00CA1285"/>
    <w:rsid w:val="00CA134A"/>
    <w:rsid w:val="00CA13F3"/>
    <w:rsid w:val="00CA205A"/>
    <w:rsid w:val="00CA2CA2"/>
    <w:rsid w:val="00CA2FAB"/>
    <w:rsid w:val="00CA3451"/>
    <w:rsid w:val="00CA3691"/>
    <w:rsid w:val="00CA3A8B"/>
    <w:rsid w:val="00CA3B9F"/>
    <w:rsid w:val="00CA4D4A"/>
    <w:rsid w:val="00CA6840"/>
    <w:rsid w:val="00CA6AF9"/>
    <w:rsid w:val="00CA6B98"/>
    <w:rsid w:val="00CA74AE"/>
    <w:rsid w:val="00CB0A6B"/>
    <w:rsid w:val="00CB115B"/>
    <w:rsid w:val="00CB343B"/>
    <w:rsid w:val="00CB482F"/>
    <w:rsid w:val="00CB4FC2"/>
    <w:rsid w:val="00CB5661"/>
    <w:rsid w:val="00CB63EE"/>
    <w:rsid w:val="00CB646F"/>
    <w:rsid w:val="00CB6580"/>
    <w:rsid w:val="00CB7230"/>
    <w:rsid w:val="00CB743D"/>
    <w:rsid w:val="00CB7BD8"/>
    <w:rsid w:val="00CC15D9"/>
    <w:rsid w:val="00CC1B9B"/>
    <w:rsid w:val="00CC3E70"/>
    <w:rsid w:val="00CC4354"/>
    <w:rsid w:val="00CC43B9"/>
    <w:rsid w:val="00CC50E2"/>
    <w:rsid w:val="00CC54E5"/>
    <w:rsid w:val="00CC5E5B"/>
    <w:rsid w:val="00CC6B5A"/>
    <w:rsid w:val="00CC7A93"/>
    <w:rsid w:val="00CD0715"/>
    <w:rsid w:val="00CD0BD5"/>
    <w:rsid w:val="00CD0E0E"/>
    <w:rsid w:val="00CD13FF"/>
    <w:rsid w:val="00CD1CA7"/>
    <w:rsid w:val="00CD1E9F"/>
    <w:rsid w:val="00CD2A2F"/>
    <w:rsid w:val="00CD3DEC"/>
    <w:rsid w:val="00CD404A"/>
    <w:rsid w:val="00CD4239"/>
    <w:rsid w:val="00CD4740"/>
    <w:rsid w:val="00CD57EF"/>
    <w:rsid w:val="00CD6368"/>
    <w:rsid w:val="00CD6AB5"/>
    <w:rsid w:val="00CD6ACF"/>
    <w:rsid w:val="00CD7814"/>
    <w:rsid w:val="00CD79EC"/>
    <w:rsid w:val="00CD7C3F"/>
    <w:rsid w:val="00CE02CA"/>
    <w:rsid w:val="00CE1C19"/>
    <w:rsid w:val="00CE2B03"/>
    <w:rsid w:val="00CE2DF0"/>
    <w:rsid w:val="00CE2F0B"/>
    <w:rsid w:val="00CE3044"/>
    <w:rsid w:val="00CE39A7"/>
    <w:rsid w:val="00CE6530"/>
    <w:rsid w:val="00CE6606"/>
    <w:rsid w:val="00CE6FB8"/>
    <w:rsid w:val="00CE70C2"/>
    <w:rsid w:val="00CE7390"/>
    <w:rsid w:val="00CE7A3C"/>
    <w:rsid w:val="00CF054E"/>
    <w:rsid w:val="00CF0615"/>
    <w:rsid w:val="00CF0A6D"/>
    <w:rsid w:val="00CF0C2C"/>
    <w:rsid w:val="00CF159C"/>
    <w:rsid w:val="00CF1607"/>
    <w:rsid w:val="00CF1B49"/>
    <w:rsid w:val="00CF254F"/>
    <w:rsid w:val="00CF26D2"/>
    <w:rsid w:val="00CF3EB6"/>
    <w:rsid w:val="00CF46D4"/>
    <w:rsid w:val="00CF5228"/>
    <w:rsid w:val="00CF7693"/>
    <w:rsid w:val="00CF76B3"/>
    <w:rsid w:val="00D00064"/>
    <w:rsid w:val="00D00218"/>
    <w:rsid w:val="00D00BA3"/>
    <w:rsid w:val="00D01CAA"/>
    <w:rsid w:val="00D03576"/>
    <w:rsid w:val="00D03DBF"/>
    <w:rsid w:val="00D04206"/>
    <w:rsid w:val="00D04656"/>
    <w:rsid w:val="00D05DA5"/>
    <w:rsid w:val="00D060F4"/>
    <w:rsid w:val="00D07166"/>
    <w:rsid w:val="00D075DD"/>
    <w:rsid w:val="00D0775F"/>
    <w:rsid w:val="00D101DC"/>
    <w:rsid w:val="00D12778"/>
    <w:rsid w:val="00D12A11"/>
    <w:rsid w:val="00D12E4B"/>
    <w:rsid w:val="00D14032"/>
    <w:rsid w:val="00D14DC7"/>
    <w:rsid w:val="00D15377"/>
    <w:rsid w:val="00D15867"/>
    <w:rsid w:val="00D15D25"/>
    <w:rsid w:val="00D16158"/>
    <w:rsid w:val="00D16623"/>
    <w:rsid w:val="00D174A0"/>
    <w:rsid w:val="00D17794"/>
    <w:rsid w:val="00D17A3C"/>
    <w:rsid w:val="00D17C70"/>
    <w:rsid w:val="00D20A56"/>
    <w:rsid w:val="00D20F72"/>
    <w:rsid w:val="00D2141B"/>
    <w:rsid w:val="00D21ACC"/>
    <w:rsid w:val="00D21AFF"/>
    <w:rsid w:val="00D22344"/>
    <w:rsid w:val="00D22664"/>
    <w:rsid w:val="00D227A5"/>
    <w:rsid w:val="00D22C21"/>
    <w:rsid w:val="00D23985"/>
    <w:rsid w:val="00D24837"/>
    <w:rsid w:val="00D24A3D"/>
    <w:rsid w:val="00D24C80"/>
    <w:rsid w:val="00D25CD5"/>
    <w:rsid w:val="00D26FEF"/>
    <w:rsid w:val="00D27AD9"/>
    <w:rsid w:val="00D27C0A"/>
    <w:rsid w:val="00D308CC"/>
    <w:rsid w:val="00D30D27"/>
    <w:rsid w:val="00D32E39"/>
    <w:rsid w:val="00D330C9"/>
    <w:rsid w:val="00D34CD5"/>
    <w:rsid w:val="00D34D1B"/>
    <w:rsid w:val="00D3503C"/>
    <w:rsid w:val="00D3788B"/>
    <w:rsid w:val="00D37DC8"/>
    <w:rsid w:val="00D401AB"/>
    <w:rsid w:val="00D405F5"/>
    <w:rsid w:val="00D4068F"/>
    <w:rsid w:val="00D41A64"/>
    <w:rsid w:val="00D42BAA"/>
    <w:rsid w:val="00D4694B"/>
    <w:rsid w:val="00D469DA"/>
    <w:rsid w:val="00D471BB"/>
    <w:rsid w:val="00D47AC7"/>
    <w:rsid w:val="00D50FF2"/>
    <w:rsid w:val="00D510A0"/>
    <w:rsid w:val="00D53690"/>
    <w:rsid w:val="00D53F3A"/>
    <w:rsid w:val="00D54080"/>
    <w:rsid w:val="00D55DC4"/>
    <w:rsid w:val="00D5652A"/>
    <w:rsid w:val="00D56C5B"/>
    <w:rsid w:val="00D56D68"/>
    <w:rsid w:val="00D57E5E"/>
    <w:rsid w:val="00D618F1"/>
    <w:rsid w:val="00D6282B"/>
    <w:rsid w:val="00D62896"/>
    <w:rsid w:val="00D63067"/>
    <w:rsid w:val="00D63673"/>
    <w:rsid w:val="00D64C51"/>
    <w:rsid w:val="00D654FA"/>
    <w:rsid w:val="00D664B6"/>
    <w:rsid w:val="00D669B1"/>
    <w:rsid w:val="00D67E1A"/>
    <w:rsid w:val="00D705A6"/>
    <w:rsid w:val="00D70980"/>
    <w:rsid w:val="00D711DD"/>
    <w:rsid w:val="00D7218A"/>
    <w:rsid w:val="00D722C1"/>
    <w:rsid w:val="00D72CF5"/>
    <w:rsid w:val="00D73DF9"/>
    <w:rsid w:val="00D74205"/>
    <w:rsid w:val="00D7499C"/>
    <w:rsid w:val="00D74D51"/>
    <w:rsid w:val="00D751C7"/>
    <w:rsid w:val="00D75646"/>
    <w:rsid w:val="00D76AA2"/>
    <w:rsid w:val="00D80189"/>
    <w:rsid w:val="00D8082E"/>
    <w:rsid w:val="00D821E1"/>
    <w:rsid w:val="00D82333"/>
    <w:rsid w:val="00D823FA"/>
    <w:rsid w:val="00D83911"/>
    <w:rsid w:val="00D84C42"/>
    <w:rsid w:val="00D8576F"/>
    <w:rsid w:val="00D862F4"/>
    <w:rsid w:val="00D8633C"/>
    <w:rsid w:val="00D86C25"/>
    <w:rsid w:val="00D8776A"/>
    <w:rsid w:val="00D90E27"/>
    <w:rsid w:val="00D9192C"/>
    <w:rsid w:val="00D91BF2"/>
    <w:rsid w:val="00D92194"/>
    <w:rsid w:val="00D92453"/>
    <w:rsid w:val="00D9265B"/>
    <w:rsid w:val="00D93A79"/>
    <w:rsid w:val="00D945F1"/>
    <w:rsid w:val="00D951B6"/>
    <w:rsid w:val="00D97F07"/>
    <w:rsid w:val="00DA0536"/>
    <w:rsid w:val="00DA0A30"/>
    <w:rsid w:val="00DA0B7C"/>
    <w:rsid w:val="00DA0C13"/>
    <w:rsid w:val="00DA0C38"/>
    <w:rsid w:val="00DA1B53"/>
    <w:rsid w:val="00DA2BCC"/>
    <w:rsid w:val="00DA3649"/>
    <w:rsid w:val="00DA36F1"/>
    <w:rsid w:val="00DA4C92"/>
    <w:rsid w:val="00DA66C5"/>
    <w:rsid w:val="00DA6E21"/>
    <w:rsid w:val="00DA70FE"/>
    <w:rsid w:val="00DA75C8"/>
    <w:rsid w:val="00DB112B"/>
    <w:rsid w:val="00DB1156"/>
    <w:rsid w:val="00DB1E23"/>
    <w:rsid w:val="00DB2183"/>
    <w:rsid w:val="00DB361D"/>
    <w:rsid w:val="00DB3737"/>
    <w:rsid w:val="00DB5F49"/>
    <w:rsid w:val="00DB5FBB"/>
    <w:rsid w:val="00DB632E"/>
    <w:rsid w:val="00DB7626"/>
    <w:rsid w:val="00DB78F2"/>
    <w:rsid w:val="00DB7A56"/>
    <w:rsid w:val="00DC0119"/>
    <w:rsid w:val="00DC01B6"/>
    <w:rsid w:val="00DC1848"/>
    <w:rsid w:val="00DC1875"/>
    <w:rsid w:val="00DC1A75"/>
    <w:rsid w:val="00DC2364"/>
    <w:rsid w:val="00DC2F2E"/>
    <w:rsid w:val="00DC33E7"/>
    <w:rsid w:val="00DC3D45"/>
    <w:rsid w:val="00DC4FCE"/>
    <w:rsid w:val="00DC67F9"/>
    <w:rsid w:val="00DC76FD"/>
    <w:rsid w:val="00DC7D9B"/>
    <w:rsid w:val="00DD2B9A"/>
    <w:rsid w:val="00DD2E1C"/>
    <w:rsid w:val="00DD2F24"/>
    <w:rsid w:val="00DD3133"/>
    <w:rsid w:val="00DD317F"/>
    <w:rsid w:val="00DD3567"/>
    <w:rsid w:val="00DD39F4"/>
    <w:rsid w:val="00DD3D71"/>
    <w:rsid w:val="00DD4EFA"/>
    <w:rsid w:val="00DD567A"/>
    <w:rsid w:val="00DD5CE7"/>
    <w:rsid w:val="00DD5D21"/>
    <w:rsid w:val="00DD6E54"/>
    <w:rsid w:val="00DE0A53"/>
    <w:rsid w:val="00DE1482"/>
    <w:rsid w:val="00DE16D1"/>
    <w:rsid w:val="00DE361A"/>
    <w:rsid w:val="00DE3CBC"/>
    <w:rsid w:val="00DE423C"/>
    <w:rsid w:val="00DE458E"/>
    <w:rsid w:val="00DE56E0"/>
    <w:rsid w:val="00DE57AE"/>
    <w:rsid w:val="00DE6207"/>
    <w:rsid w:val="00DE6B9E"/>
    <w:rsid w:val="00DE6BBD"/>
    <w:rsid w:val="00DE6CC3"/>
    <w:rsid w:val="00DE7648"/>
    <w:rsid w:val="00DF08B8"/>
    <w:rsid w:val="00DF1B54"/>
    <w:rsid w:val="00DF242C"/>
    <w:rsid w:val="00DF3EDC"/>
    <w:rsid w:val="00DF4F05"/>
    <w:rsid w:val="00DF5933"/>
    <w:rsid w:val="00DF6348"/>
    <w:rsid w:val="00DF7BCA"/>
    <w:rsid w:val="00DF7D90"/>
    <w:rsid w:val="00DF7E53"/>
    <w:rsid w:val="00E0064E"/>
    <w:rsid w:val="00E0089A"/>
    <w:rsid w:val="00E00DA5"/>
    <w:rsid w:val="00E01602"/>
    <w:rsid w:val="00E02CB9"/>
    <w:rsid w:val="00E039A7"/>
    <w:rsid w:val="00E03F7D"/>
    <w:rsid w:val="00E04880"/>
    <w:rsid w:val="00E0493F"/>
    <w:rsid w:val="00E04B96"/>
    <w:rsid w:val="00E0539F"/>
    <w:rsid w:val="00E054FA"/>
    <w:rsid w:val="00E057AA"/>
    <w:rsid w:val="00E059DA"/>
    <w:rsid w:val="00E0612C"/>
    <w:rsid w:val="00E06F12"/>
    <w:rsid w:val="00E078C9"/>
    <w:rsid w:val="00E107E7"/>
    <w:rsid w:val="00E10E45"/>
    <w:rsid w:val="00E11910"/>
    <w:rsid w:val="00E11C32"/>
    <w:rsid w:val="00E11EAF"/>
    <w:rsid w:val="00E1204C"/>
    <w:rsid w:val="00E122CA"/>
    <w:rsid w:val="00E12685"/>
    <w:rsid w:val="00E13BEF"/>
    <w:rsid w:val="00E13D75"/>
    <w:rsid w:val="00E14C75"/>
    <w:rsid w:val="00E15745"/>
    <w:rsid w:val="00E15DAC"/>
    <w:rsid w:val="00E1702B"/>
    <w:rsid w:val="00E17436"/>
    <w:rsid w:val="00E17C0C"/>
    <w:rsid w:val="00E20899"/>
    <w:rsid w:val="00E209FE"/>
    <w:rsid w:val="00E225BB"/>
    <w:rsid w:val="00E22F0B"/>
    <w:rsid w:val="00E22F14"/>
    <w:rsid w:val="00E230B9"/>
    <w:rsid w:val="00E23666"/>
    <w:rsid w:val="00E23FC3"/>
    <w:rsid w:val="00E2501B"/>
    <w:rsid w:val="00E250FE"/>
    <w:rsid w:val="00E253FD"/>
    <w:rsid w:val="00E25DC7"/>
    <w:rsid w:val="00E27433"/>
    <w:rsid w:val="00E279E8"/>
    <w:rsid w:val="00E27F49"/>
    <w:rsid w:val="00E300D9"/>
    <w:rsid w:val="00E31283"/>
    <w:rsid w:val="00E31DD9"/>
    <w:rsid w:val="00E31F8E"/>
    <w:rsid w:val="00E321AE"/>
    <w:rsid w:val="00E32217"/>
    <w:rsid w:val="00E32B3D"/>
    <w:rsid w:val="00E33B45"/>
    <w:rsid w:val="00E360D9"/>
    <w:rsid w:val="00E36844"/>
    <w:rsid w:val="00E36923"/>
    <w:rsid w:val="00E36DC5"/>
    <w:rsid w:val="00E373A0"/>
    <w:rsid w:val="00E376DB"/>
    <w:rsid w:val="00E37BD0"/>
    <w:rsid w:val="00E40278"/>
    <w:rsid w:val="00E40315"/>
    <w:rsid w:val="00E40DEA"/>
    <w:rsid w:val="00E40EE5"/>
    <w:rsid w:val="00E4164C"/>
    <w:rsid w:val="00E41DDD"/>
    <w:rsid w:val="00E43877"/>
    <w:rsid w:val="00E43D1C"/>
    <w:rsid w:val="00E43D76"/>
    <w:rsid w:val="00E44667"/>
    <w:rsid w:val="00E44EEB"/>
    <w:rsid w:val="00E4582B"/>
    <w:rsid w:val="00E4589B"/>
    <w:rsid w:val="00E45B41"/>
    <w:rsid w:val="00E45D32"/>
    <w:rsid w:val="00E5029E"/>
    <w:rsid w:val="00E507C8"/>
    <w:rsid w:val="00E5370E"/>
    <w:rsid w:val="00E53FEF"/>
    <w:rsid w:val="00E54317"/>
    <w:rsid w:val="00E54742"/>
    <w:rsid w:val="00E54F5B"/>
    <w:rsid w:val="00E5501C"/>
    <w:rsid w:val="00E55D0B"/>
    <w:rsid w:val="00E5604A"/>
    <w:rsid w:val="00E56B29"/>
    <w:rsid w:val="00E570A7"/>
    <w:rsid w:val="00E57675"/>
    <w:rsid w:val="00E607F1"/>
    <w:rsid w:val="00E61DA8"/>
    <w:rsid w:val="00E6273E"/>
    <w:rsid w:val="00E627AD"/>
    <w:rsid w:val="00E62CFA"/>
    <w:rsid w:val="00E63001"/>
    <w:rsid w:val="00E63076"/>
    <w:rsid w:val="00E634A9"/>
    <w:rsid w:val="00E63B38"/>
    <w:rsid w:val="00E63F5E"/>
    <w:rsid w:val="00E644B9"/>
    <w:rsid w:val="00E64C3A"/>
    <w:rsid w:val="00E65289"/>
    <w:rsid w:val="00E65793"/>
    <w:rsid w:val="00E65E11"/>
    <w:rsid w:val="00E66F74"/>
    <w:rsid w:val="00E67160"/>
    <w:rsid w:val="00E7112F"/>
    <w:rsid w:val="00E71316"/>
    <w:rsid w:val="00E71603"/>
    <w:rsid w:val="00E72E57"/>
    <w:rsid w:val="00E7344C"/>
    <w:rsid w:val="00E74856"/>
    <w:rsid w:val="00E76F5E"/>
    <w:rsid w:val="00E76F73"/>
    <w:rsid w:val="00E77178"/>
    <w:rsid w:val="00E772A3"/>
    <w:rsid w:val="00E77352"/>
    <w:rsid w:val="00E77995"/>
    <w:rsid w:val="00E81145"/>
    <w:rsid w:val="00E81402"/>
    <w:rsid w:val="00E831B5"/>
    <w:rsid w:val="00E83BCF"/>
    <w:rsid w:val="00E842C7"/>
    <w:rsid w:val="00E849BB"/>
    <w:rsid w:val="00E84A39"/>
    <w:rsid w:val="00E8562F"/>
    <w:rsid w:val="00E85674"/>
    <w:rsid w:val="00E86098"/>
    <w:rsid w:val="00E86190"/>
    <w:rsid w:val="00E86A5D"/>
    <w:rsid w:val="00E86ECF"/>
    <w:rsid w:val="00E86F27"/>
    <w:rsid w:val="00E87669"/>
    <w:rsid w:val="00E90436"/>
    <w:rsid w:val="00E911D0"/>
    <w:rsid w:val="00E91ADE"/>
    <w:rsid w:val="00E928D0"/>
    <w:rsid w:val="00E931CF"/>
    <w:rsid w:val="00E9696F"/>
    <w:rsid w:val="00E96D77"/>
    <w:rsid w:val="00E970FA"/>
    <w:rsid w:val="00E97126"/>
    <w:rsid w:val="00E97998"/>
    <w:rsid w:val="00EA157A"/>
    <w:rsid w:val="00EA23B0"/>
    <w:rsid w:val="00EA2C12"/>
    <w:rsid w:val="00EA2F58"/>
    <w:rsid w:val="00EA32AF"/>
    <w:rsid w:val="00EA3589"/>
    <w:rsid w:val="00EA3606"/>
    <w:rsid w:val="00EA3DA0"/>
    <w:rsid w:val="00EA3F04"/>
    <w:rsid w:val="00EA40C3"/>
    <w:rsid w:val="00EA4765"/>
    <w:rsid w:val="00EA4AFC"/>
    <w:rsid w:val="00EA5D60"/>
    <w:rsid w:val="00EA65D1"/>
    <w:rsid w:val="00EA6738"/>
    <w:rsid w:val="00EA7318"/>
    <w:rsid w:val="00EA736C"/>
    <w:rsid w:val="00EB028E"/>
    <w:rsid w:val="00EB0889"/>
    <w:rsid w:val="00EB0B74"/>
    <w:rsid w:val="00EB1481"/>
    <w:rsid w:val="00EB16A6"/>
    <w:rsid w:val="00EB3A61"/>
    <w:rsid w:val="00EB3A9B"/>
    <w:rsid w:val="00EB4661"/>
    <w:rsid w:val="00EB49E7"/>
    <w:rsid w:val="00EB4FA0"/>
    <w:rsid w:val="00EB53F3"/>
    <w:rsid w:val="00EB542A"/>
    <w:rsid w:val="00EB564A"/>
    <w:rsid w:val="00EB5926"/>
    <w:rsid w:val="00EB5B22"/>
    <w:rsid w:val="00EB693B"/>
    <w:rsid w:val="00EB7A76"/>
    <w:rsid w:val="00EC0C7A"/>
    <w:rsid w:val="00EC12B4"/>
    <w:rsid w:val="00EC1324"/>
    <w:rsid w:val="00EC23BE"/>
    <w:rsid w:val="00EC27A2"/>
    <w:rsid w:val="00EC3A59"/>
    <w:rsid w:val="00EC3FFA"/>
    <w:rsid w:val="00EC40EB"/>
    <w:rsid w:val="00EC4718"/>
    <w:rsid w:val="00EC5011"/>
    <w:rsid w:val="00EC5939"/>
    <w:rsid w:val="00EC65DA"/>
    <w:rsid w:val="00EC69FC"/>
    <w:rsid w:val="00EC7EDB"/>
    <w:rsid w:val="00ED3EAF"/>
    <w:rsid w:val="00ED48CA"/>
    <w:rsid w:val="00ED4D0D"/>
    <w:rsid w:val="00ED6526"/>
    <w:rsid w:val="00ED6544"/>
    <w:rsid w:val="00ED670C"/>
    <w:rsid w:val="00ED6CCE"/>
    <w:rsid w:val="00ED764D"/>
    <w:rsid w:val="00ED7C9D"/>
    <w:rsid w:val="00ED7E2F"/>
    <w:rsid w:val="00EE00EC"/>
    <w:rsid w:val="00EE0D70"/>
    <w:rsid w:val="00EE11D6"/>
    <w:rsid w:val="00EE16FC"/>
    <w:rsid w:val="00EE1B88"/>
    <w:rsid w:val="00EE1C5F"/>
    <w:rsid w:val="00EE22B9"/>
    <w:rsid w:val="00EE274F"/>
    <w:rsid w:val="00EE3001"/>
    <w:rsid w:val="00EE3317"/>
    <w:rsid w:val="00EE40DF"/>
    <w:rsid w:val="00EE4300"/>
    <w:rsid w:val="00EE45BA"/>
    <w:rsid w:val="00EE4616"/>
    <w:rsid w:val="00EE5696"/>
    <w:rsid w:val="00EE6387"/>
    <w:rsid w:val="00EE66C7"/>
    <w:rsid w:val="00EE6A94"/>
    <w:rsid w:val="00EE7532"/>
    <w:rsid w:val="00EE7FE0"/>
    <w:rsid w:val="00EF02FF"/>
    <w:rsid w:val="00EF0379"/>
    <w:rsid w:val="00EF14AB"/>
    <w:rsid w:val="00EF1C89"/>
    <w:rsid w:val="00EF1FF9"/>
    <w:rsid w:val="00EF2403"/>
    <w:rsid w:val="00EF25FA"/>
    <w:rsid w:val="00EF5A23"/>
    <w:rsid w:val="00EF5B95"/>
    <w:rsid w:val="00EF5F58"/>
    <w:rsid w:val="00EF6269"/>
    <w:rsid w:val="00EF6B3F"/>
    <w:rsid w:val="00F0116D"/>
    <w:rsid w:val="00F01CCF"/>
    <w:rsid w:val="00F02CA5"/>
    <w:rsid w:val="00F0491C"/>
    <w:rsid w:val="00F04A70"/>
    <w:rsid w:val="00F052DE"/>
    <w:rsid w:val="00F05301"/>
    <w:rsid w:val="00F0736C"/>
    <w:rsid w:val="00F07614"/>
    <w:rsid w:val="00F0796A"/>
    <w:rsid w:val="00F07A68"/>
    <w:rsid w:val="00F100FE"/>
    <w:rsid w:val="00F10310"/>
    <w:rsid w:val="00F117E6"/>
    <w:rsid w:val="00F11963"/>
    <w:rsid w:val="00F13157"/>
    <w:rsid w:val="00F132F6"/>
    <w:rsid w:val="00F137C4"/>
    <w:rsid w:val="00F13B64"/>
    <w:rsid w:val="00F14C59"/>
    <w:rsid w:val="00F15843"/>
    <w:rsid w:val="00F15885"/>
    <w:rsid w:val="00F15C31"/>
    <w:rsid w:val="00F16203"/>
    <w:rsid w:val="00F16236"/>
    <w:rsid w:val="00F16E05"/>
    <w:rsid w:val="00F1719B"/>
    <w:rsid w:val="00F1794E"/>
    <w:rsid w:val="00F20212"/>
    <w:rsid w:val="00F22050"/>
    <w:rsid w:val="00F221EA"/>
    <w:rsid w:val="00F22719"/>
    <w:rsid w:val="00F2274A"/>
    <w:rsid w:val="00F2440F"/>
    <w:rsid w:val="00F244F1"/>
    <w:rsid w:val="00F2453B"/>
    <w:rsid w:val="00F25F30"/>
    <w:rsid w:val="00F26117"/>
    <w:rsid w:val="00F26228"/>
    <w:rsid w:val="00F26DD2"/>
    <w:rsid w:val="00F27007"/>
    <w:rsid w:val="00F27CA5"/>
    <w:rsid w:val="00F3015B"/>
    <w:rsid w:val="00F301D6"/>
    <w:rsid w:val="00F302A0"/>
    <w:rsid w:val="00F30AF9"/>
    <w:rsid w:val="00F31046"/>
    <w:rsid w:val="00F3146A"/>
    <w:rsid w:val="00F3186E"/>
    <w:rsid w:val="00F31946"/>
    <w:rsid w:val="00F31E40"/>
    <w:rsid w:val="00F32BF5"/>
    <w:rsid w:val="00F334C1"/>
    <w:rsid w:val="00F343ED"/>
    <w:rsid w:val="00F34784"/>
    <w:rsid w:val="00F3576E"/>
    <w:rsid w:val="00F35CBE"/>
    <w:rsid w:val="00F36D5C"/>
    <w:rsid w:val="00F36DD3"/>
    <w:rsid w:val="00F401DA"/>
    <w:rsid w:val="00F40990"/>
    <w:rsid w:val="00F40BBB"/>
    <w:rsid w:val="00F41518"/>
    <w:rsid w:val="00F418BB"/>
    <w:rsid w:val="00F41ABC"/>
    <w:rsid w:val="00F42408"/>
    <w:rsid w:val="00F42936"/>
    <w:rsid w:val="00F42953"/>
    <w:rsid w:val="00F42E3C"/>
    <w:rsid w:val="00F44590"/>
    <w:rsid w:val="00F44A52"/>
    <w:rsid w:val="00F44A78"/>
    <w:rsid w:val="00F44CA5"/>
    <w:rsid w:val="00F4694D"/>
    <w:rsid w:val="00F470D4"/>
    <w:rsid w:val="00F50A84"/>
    <w:rsid w:val="00F511D0"/>
    <w:rsid w:val="00F52567"/>
    <w:rsid w:val="00F52A22"/>
    <w:rsid w:val="00F5387A"/>
    <w:rsid w:val="00F55056"/>
    <w:rsid w:val="00F550FF"/>
    <w:rsid w:val="00F5607F"/>
    <w:rsid w:val="00F56FBA"/>
    <w:rsid w:val="00F570D6"/>
    <w:rsid w:val="00F57242"/>
    <w:rsid w:val="00F60981"/>
    <w:rsid w:val="00F61A36"/>
    <w:rsid w:val="00F61AD9"/>
    <w:rsid w:val="00F62A15"/>
    <w:rsid w:val="00F63289"/>
    <w:rsid w:val="00F63C27"/>
    <w:rsid w:val="00F64523"/>
    <w:rsid w:val="00F64DE8"/>
    <w:rsid w:val="00F65242"/>
    <w:rsid w:val="00F66B08"/>
    <w:rsid w:val="00F67304"/>
    <w:rsid w:val="00F67442"/>
    <w:rsid w:val="00F67AC6"/>
    <w:rsid w:val="00F67BAB"/>
    <w:rsid w:val="00F70BB5"/>
    <w:rsid w:val="00F723AF"/>
    <w:rsid w:val="00F73823"/>
    <w:rsid w:val="00F73CAD"/>
    <w:rsid w:val="00F73F76"/>
    <w:rsid w:val="00F746DB"/>
    <w:rsid w:val="00F74781"/>
    <w:rsid w:val="00F75408"/>
    <w:rsid w:val="00F75D18"/>
    <w:rsid w:val="00F766E4"/>
    <w:rsid w:val="00F76C5B"/>
    <w:rsid w:val="00F776C1"/>
    <w:rsid w:val="00F777AA"/>
    <w:rsid w:val="00F77977"/>
    <w:rsid w:val="00F80F0A"/>
    <w:rsid w:val="00F8132C"/>
    <w:rsid w:val="00F81870"/>
    <w:rsid w:val="00F82211"/>
    <w:rsid w:val="00F8352D"/>
    <w:rsid w:val="00F839E1"/>
    <w:rsid w:val="00F844BD"/>
    <w:rsid w:val="00F84778"/>
    <w:rsid w:val="00F856D5"/>
    <w:rsid w:val="00F85B40"/>
    <w:rsid w:val="00F85F32"/>
    <w:rsid w:val="00F86041"/>
    <w:rsid w:val="00F86AA2"/>
    <w:rsid w:val="00F90B97"/>
    <w:rsid w:val="00F91124"/>
    <w:rsid w:val="00F9235C"/>
    <w:rsid w:val="00F92A45"/>
    <w:rsid w:val="00F95027"/>
    <w:rsid w:val="00F95D37"/>
    <w:rsid w:val="00F96306"/>
    <w:rsid w:val="00F96B60"/>
    <w:rsid w:val="00F96EF7"/>
    <w:rsid w:val="00FA0BCB"/>
    <w:rsid w:val="00FA0C04"/>
    <w:rsid w:val="00FA192F"/>
    <w:rsid w:val="00FA2224"/>
    <w:rsid w:val="00FA23A8"/>
    <w:rsid w:val="00FA2647"/>
    <w:rsid w:val="00FA49A7"/>
    <w:rsid w:val="00FA5724"/>
    <w:rsid w:val="00FA6B0F"/>
    <w:rsid w:val="00FA6C66"/>
    <w:rsid w:val="00FA71AE"/>
    <w:rsid w:val="00FB0771"/>
    <w:rsid w:val="00FB0854"/>
    <w:rsid w:val="00FB0C5C"/>
    <w:rsid w:val="00FB0F76"/>
    <w:rsid w:val="00FB1C22"/>
    <w:rsid w:val="00FB1D45"/>
    <w:rsid w:val="00FB3103"/>
    <w:rsid w:val="00FB3DFD"/>
    <w:rsid w:val="00FB4331"/>
    <w:rsid w:val="00FB488D"/>
    <w:rsid w:val="00FB4AA4"/>
    <w:rsid w:val="00FB4B36"/>
    <w:rsid w:val="00FB4F3A"/>
    <w:rsid w:val="00FB5A1E"/>
    <w:rsid w:val="00FB5A28"/>
    <w:rsid w:val="00FB5C64"/>
    <w:rsid w:val="00FC0236"/>
    <w:rsid w:val="00FC0987"/>
    <w:rsid w:val="00FC371F"/>
    <w:rsid w:val="00FC3880"/>
    <w:rsid w:val="00FC47AA"/>
    <w:rsid w:val="00FC51C8"/>
    <w:rsid w:val="00FC6C38"/>
    <w:rsid w:val="00FC7140"/>
    <w:rsid w:val="00FC7E22"/>
    <w:rsid w:val="00FD0250"/>
    <w:rsid w:val="00FD0A45"/>
    <w:rsid w:val="00FD0AC1"/>
    <w:rsid w:val="00FD0C7A"/>
    <w:rsid w:val="00FD176F"/>
    <w:rsid w:val="00FD186A"/>
    <w:rsid w:val="00FD1E2F"/>
    <w:rsid w:val="00FD2058"/>
    <w:rsid w:val="00FD2148"/>
    <w:rsid w:val="00FD2293"/>
    <w:rsid w:val="00FD292D"/>
    <w:rsid w:val="00FD38A7"/>
    <w:rsid w:val="00FD3AED"/>
    <w:rsid w:val="00FD51A7"/>
    <w:rsid w:val="00FD5F9A"/>
    <w:rsid w:val="00FD67B0"/>
    <w:rsid w:val="00FD69D2"/>
    <w:rsid w:val="00FD7497"/>
    <w:rsid w:val="00FD7673"/>
    <w:rsid w:val="00FD7BE6"/>
    <w:rsid w:val="00FE1661"/>
    <w:rsid w:val="00FE2AAD"/>
    <w:rsid w:val="00FE407F"/>
    <w:rsid w:val="00FE45C9"/>
    <w:rsid w:val="00FE58E0"/>
    <w:rsid w:val="00FE5C13"/>
    <w:rsid w:val="00FE77A1"/>
    <w:rsid w:val="00FE7BCE"/>
    <w:rsid w:val="00FF00EE"/>
    <w:rsid w:val="00FF0124"/>
    <w:rsid w:val="00FF0964"/>
    <w:rsid w:val="00FF119A"/>
    <w:rsid w:val="00FF195A"/>
    <w:rsid w:val="00FF1A9B"/>
    <w:rsid w:val="00FF1F54"/>
    <w:rsid w:val="00FF24A7"/>
    <w:rsid w:val="00FF472B"/>
    <w:rsid w:val="00FF4959"/>
    <w:rsid w:val="00FF5C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footnote reference" w:locked="1"/>
    <w:lsdException w:name="Title" w:locked="1" w:qFormat="1"/>
    <w:lsdException w:name="Subtitle" w:locked="1" w:qFormat="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7BE"/>
  </w:style>
  <w:style w:type="paragraph" w:styleId="1">
    <w:name w:val="heading 1"/>
    <w:basedOn w:val="a"/>
    <w:next w:val="a"/>
    <w:qFormat/>
    <w:rsid w:val="008E27BE"/>
    <w:pPr>
      <w:keepNext/>
      <w:spacing w:before="120" w:line="-360" w:lineRule="auto"/>
      <w:ind w:firstLine="709"/>
      <w:jc w:val="center"/>
      <w:outlineLvl w:val="0"/>
    </w:pPr>
    <w:rPr>
      <w:b/>
      <w:sz w:val="26"/>
    </w:rPr>
  </w:style>
  <w:style w:type="paragraph" w:styleId="2">
    <w:name w:val="heading 2"/>
    <w:basedOn w:val="a"/>
    <w:next w:val="a"/>
    <w:qFormat/>
    <w:rsid w:val="008E27BE"/>
    <w:pPr>
      <w:keepNext/>
      <w:spacing w:before="60" w:after="120" w:line="240" w:lineRule="exact"/>
      <w:ind w:left="355"/>
      <w:jc w:val="both"/>
      <w:outlineLvl w:val="1"/>
    </w:pPr>
    <w:rPr>
      <w:b/>
      <w:sz w:val="22"/>
    </w:rPr>
  </w:style>
  <w:style w:type="paragraph" w:styleId="3">
    <w:name w:val="heading 3"/>
    <w:basedOn w:val="a"/>
    <w:next w:val="a"/>
    <w:qFormat/>
    <w:rsid w:val="008E27BE"/>
    <w:pPr>
      <w:keepNext/>
      <w:spacing w:before="120" w:line="200" w:lineRule="exact"/>
      <w:ind w:left="57"/>
      <w:outlineLvl w:val="2"/>
    </w:pPr>
    <w:rPr>
      <w:b/>
      <w:sz w:val="22"/>
      <w:lang w:val="en-US"/>
    </w:rPr>
  </w:style>
  <w:style w:type="paragraph" w:styleId="4">
    <w:name w:val="heading 4"/>
    <w:basedOn w:val="a"/>
    <w:next w:val="a"/>
    <w:qFormat/>
    <w:rsid w:val="008E27BE"/>
    <w:pPr>
      <w:keepNext/>
      <w:spacing w:before="120" w:after="120" w:line="240" w:lineRule="exact"/>
      <w:ind w:left="142"/>
      <w:outlineLvl w:val="3"/>
    </w:pPr>
    <w:rPr>
      <w:b/>
      <w:sz w:val="22"/>
    </w:rPr>
  </w:style>
  <w:style w:type="paragraph" w:styleId="5">
    <w:name w:val="heading 5"/>
    <w:basedOn w:val="a"/>
    <w:next w:val="a"/>
    <w:qFormat/>
    <w:rsid w:val="008E27BE"/>
    <w:pPr>
      <w:keepNext/>
      <w:spacing w:before="60" w:after="120" w:line="240" w:lineRule="exact"/>
      <w:outlineLvl w:val="4"/>
    </w:pPr>
    <w:rPr>
      <w:b/>
      <w:sz w:val="22"/>
      <w:lang w:val="en-US"/>
    </w:rPr>
  </w:style>
  <w:style w:type="paragraph" w:styleId="6">
    <w:name w:val="heading 6"/>
    <w:basedOn w:val="a"/>
    <w:next w:val="a"/>
    <w:qFormat/>
    <w:rsid w:val="008E27BE"/>
    <w:pPr>
      <w:keepNext/>
      <w:spacing w:before="120" w:after="60" w:line="200" w:lineRule="exact"/>
      <w:ind w:left="113"/>
      <w:outlineLvl w:val="5"/>
    </w:pPr>
    <w:rPr>
      <w:b/>
      <w:sz w:val="22"/>
    </w:rPr>
  </w:style>
  <w:style w:type="paragraph" w:styleId="7">
    <w:name w:val="heading 7"/>
    <w:basedOn w:val="a"/>
    <w:next w:val="a"/>
    <w:qFormat/>
    <w:rsid w:val="008E27BE"/>
    <w:pPr>
      <w:keepNext/>
      <w:spacing w:before="60" w:after="40" w:line="200" w:lineRule="exact"/>
      <w:ind w:left="227"/>
      <w:outlineLvl w:val="6"/>
    </w:pPr>
    <w:rPr>
      <w:b/>
      <w:sz w:val="22"/>
      <w:lang w:val="en-US"/>
    </w:rPr>
  </w:style>
  <w:style w:type="paragraph" w:styleId="8">
    <w:name w:val="heading 8"/>
    <w:basedOn w:val="a"/>
    <w:next w:val="a"/>
    <w:qFormat/>
    <w:rsid w:val="008E27BE"/>
    <w:pPr>
      <w:keepNext/>
      <w:spacing w:before="40" w:after="40" w:line="200" w:lineRule="exact"/>
      <w:ind w:left="71"/>
      <w:outlineLvl w:val="7"/>
    </w:pPr>
    <w:rPr>
      <w:b/>
      <w:sz w:val="22"/>
    </w:rPr>
  </w:style>
  <w:style w:type="paragraph" w:styleId="9">
    <w:name w:val="heading 9"/>
    <w:basedOn w:val="a"/>
    <w:next w:val="a"/>
    <w:qFormat/>
    <w:rsid w:val="008E27BE"/>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7BE"/>
    <w:pPr>
      <w:tabs>
        <w:tab w:val="center" w:pos="4153"/>
        <w:tab w:val="right" w:pos="8306"/>
      </w:tabs>
    </w:pPr>
  </w:style>
  <w:style w:type="character" w:customStyle="1" w:styleId="iiianoaieou">
    <w:name w:val="iiia? no?aieou"/>
    <w:rsid w:val="008E27BE"/>
    <w:rPr>
      <w:rFonts w:cs="Times New Roman"/>
    </w:rPr>
  </w:style>
  <w:style w:type="paragraph" w:styleId="a5">
    <w:name w:val="footer"/>
    <w:basedOn w:val="a"/>
    <w:rsid w:val="008E27BE"/>
    <w:pPr>
      <w:tabs>
        <w:tab w:val="center" w:pos="4536"/>
        <w:tab w:val="right" w:pos="9072"/>
      </w:tabs>
    </w:pPr>
  </w:style>
  <w:style w:type="paragraph" w:customStyle="1" w:styleId="21">
    <w:name w:val="Основной текст 21"/>
    <w:basedOn w:val="a"/>
    <w:rsid w:val="008E27BE"/>
    <w:pPr>
      <w:spacing w:before="120" w:line="340" w:lineRule="exact"/>
      <w:ind w:right="-1" w:firstLine="709"/>
      <w:jc w:val="both"/>
    </w:pPr>
    <w:rPr>
      <w:sz w:val="26"/>
    </w:rPr>
  </w:style>
  <w:style w:type="paragraph" w:customStyle="1" w:styleId="Aaoieeeieiioeooe1">
    <w:name w:val="Aa?oiee eieiioeooe1"/>
    <w:basedOn w:val="a"/>
    <w:rsid w:val="008E27BE"/>
    <w:pPr>
      <w:tabs>
        <w:tab w:val="center" w:pos="4153"/>
        <w:tab w:val="right" w:pos="8306"/>
      </w:tabs>
    </w:pPr>
  </w:style>
  <w:style w:type="character" w:customStyle="1" w:styleId="iiianoaieou1">
    <w:name w:val="iiia? no?aieou1"/>
    <w:rsid w:val="008E27BE"/>
    <w:rPr>
      <w:rFonts w:cs="Times New Roman"/>
    </w:rPr>
  </w:style>
  <w:style w:type="paragraph" w:customStyle="1" w:styleId="Ieieeeieiioeooe1">
    <w:name w:val="Ie?iee eieiioeooe1"/>
    <w:basedOn w:val="a"/>
    <w:rsid w:val="008E27BE"/>
    <w:pPr>
      <w:tabs>
        <w:tab w:val="center" w:pos="4536"/>
        <w:tab w:val="right" w:pos="9072"/>
      </w:tabs>
    </w:pPr>
  </w:style>
  <w:style w:type="character" w:styleId="a6">
    <w:name w:val="page number"/>
    <w:rsid w:val="008E27BE"/>
    <w:rPr>
      <w:rFonts w:cs="Times New Roman"/>
    </w:rPr>
  </w:style>
  <w:style w:type="character" w:styleId="a7">
    <w:name w:val="line number"/>
    <w:rsid w:val="008E27BE"/>
    <w:rPr>
      <w:rFonts w:cs="Times New Roman"/>
    </w:rPr>
  </w:style>
  <w:style w:type="paragraph" w:styleId="a8">
    <w:name w:val="Body Text Indent"/>
    <w:basedOn w:val="a"/>
    <w:link w:val="a9"/>
    <w:rsid w:val="008E27BE"/>
    <w:pPr>
      <w:spacing w:before="120" w:line="360" w:lineRule="exact"/>
      <w:ind w:firstLine="709"/>
      <w:jc w:val="both"/>
    </w:pPr>
    <w:rPr>
      <w:sz w:val="26"/>
    </w:rPr>
  </w:style>
  <w:style w:type="paragraph" w:styleId="aa">
    <w:name w:val="Title"/>
    <w:basedOn w:val="a"/>
    <w:link w:val="ab"/>
    <w:qFormat/>
    <w:rsid w:val="008E27BE"/>
    <w:pPr>
      <w:jc w:val="center"/>
    </w:pPr>
    <w:rPr>
      <w:rFonts w:ascii="Arial" w:hAnsi="Arial"/>
      <w:b/>
      <w:sz w:val="28"/>
    </w:rPr>
  </w:style>
  <w:style w:type="character" w:styleId="ac">
    <w:name w:val="footnote reference"/>
    <w:semiHidden/>
    <w:rsid w:val="008E27BE"/>
    <w:rPr>
      <w:rFonts w:cs="Times New Roman"/>
      <w:vertAlign w:val="superscript"/>
    </w:rPr>
  </w:style>
  <w:style w:type="paragraph" w:styleId="ad">
    <w:name w:val="footnote text"/>
    <w:basedOn w:val="a"/>
    <w:semiHidden/>
    <w:rsid w:val="008E27BE"/>
  </w:style>
  <w:style w:type="paragraph" w:styleId="ae">
    <w:name w:val="Body Text"/>
    <w:basedOn w:val="a"/>
    <w:rsid w:val="008E27BE"/>
    <w:rPr>
      <w:b/>
      <w:sz w:val="22"/>
    </w:rPr>
  </w:style>
  <w:style w:type="paragraph" w:styleId="20">
    <w:name w:val="Body Text Indent 2"/>
    <w:basedOn w:val="a"/>
    <w:link w:val="22"/>
    <w:rsid w:val="008E27BE"/>
    <w:pPr>
      <w:spacing w:before="120" w:line="360" w:lineRule="auto"/>
      <w:ind w:firstLine="567"/>
      <w:jc w:val="both"/>
    </w:pPr>
    <w:rPr>
      <w:sz w:val="26"/>
    </w:rPr>
  </w:style>
  <w:style w:type="paragraph" w:styleId="af">
    <w:name w:val="caption"/>
    <w:basedOn w:val="a"/>
    <w:next w:val="a"/>
    <w:qFormat/>
    <w:rsid w:val="008E27BE"/>
    <w:pPr>
      <w:spacing w:before="120" w:line="240" w:lineRule="exact"/>
      <w:jc w:val="center"/>
    </w:pPr>
    <w:rPr>
      <w:b/>
      <w:sz w:val="24"/>
    </w:rPr>
  </w:style>
  <w:style w:type="paragraph" w:styleId="30">
    <w:name w:val="Body Text Indent 3"/>
    <w:basedOn w:val="a"/>
    <w:rsid w:val="008E27BE"/>
    <w:pPr>
      <w:spacing w:before="120" w:line="400" w:lineRule="exact"/>
      <w:ind w:firstLine="709"/>
      <w:jc w:val="both"/>
    </w:pPr>
    <w:rPr>
      <w:sz w:val="26"/>
    </w:rPr>
  </w:style>
  <w:style w:type="paragraph" w:styleId="23">
    <w:name w:val="Body Text 2"/>
    <w:basedOn w:val="a"/>
    <w:rsid w:val="008E27BE"/>
    <w:rPr>
      <w:rFonts w:ascii="Arial" w:hAnsi="Arial" w:cs="Arial"/>
      <w:b/>
      <w:bCs/>
      <w:color w:val="000000"/>
      <w:sz w:val="24"/>
      <w:szCs w:val="24"/>
      <w:lang w:val="en-US"/>
    </w:rPr>
  </w:style>
  <w:style w:type="paragraph" w:customStyle="1" w:styleId="xl35">
    <w:name w:val="xl35"/>
    <w:basedOn w:val="a"/>
    <w:rsid w:val="008E27BE"/>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rsid w:val="008E27BE"/>
  </w:style>
  <w:style w:type="character" w:styleId="af1">
    <w:name w:val="endnote reference"/>
    <w:semiHidden/>
    <w:rsid w:val="008E27BE"/>
    <w:rPr>
      <w:rFonts w:cs="Times New Roman"/>
      <w:vertAlign w:val="superscript"/>
    </w:rPr>
  </w:style>
  <w:style w:type="table" w:styleId="af2">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1C169F"/>
    <w:rPr>
      <w:rFonts w:ascii="Tahoma" w:hAnsi="Tahoma" w:cs="Tahoma"/>
      <w:sz w:val="16"/>
      <w:szCs w:val="16"/>
    </w:rPr>
  </w:style>
  <w:style w:type="paragraph" w:customStyle="1" w:styleId="24">
    <w:name w:val="Нормальный.табул 2"/>
    <w:rsid w:val="00DA1B53"/>
    <w:pPr>
      <w:tabs>
        <w:tab w:val="decimal" w:pos="624"/>
      </w:tabs>
    </w:pPr>
  </w:style>
  <w:style w:type="character" w:customStyle="1" w:styleId="a4">
    <w:name w:val="Верхний колонтитул Знак"/>
    <w:link w:val="a3"/>
    <w:locked/>
    <w:rsid w:val="00717305"/>
    <w:rPr>
      <w:rFonts w:cs="Times New Roman"/>
    </w:rPr>
  </w:style>
  <w:style w:type="character" w:customStyle="1" w:styleId="a9">
    <w:name w:val="Основной текст с отступом Знак"/>
    <w:link w:val="a8"/>
    <w:locked/>
    <w:rsid w:val="00FD5F9A"/>
    <w:rPr>
      <w:rFonts w:cs="Times New Roman"/>
      <w:sz w:val="26"/>
    </w:rPr>
  </w:style>
  <w:style w:type="character" w:customStyle="1" w:styleId="ab">
    <w:name w:val="Название Знак"/>
    <w:link w:val="aa"/>
    <w:locked/>
    <w:rsid w:val="00FB5A1E"/>
    <w:rPr>
      <w:rFonts w:ascii="Arial" w:hAnsi="Arial" w:cs="Times New Roman"/>
      <w:b/>
      <w:sz w:val="28"/>
    </w:rPr>
  </w:style>
  <w:style w:type="paragraph" w:customStyle="1" w:styleId="10">
    <w:name w:val="Абзац списка1"/>
    <w:basedOn w:val="a"/>
    <w:rsid w:val="00D22344"/>
    <w:pPr>
      <w:ind w:left="720"/>
    </w:pPr>
  </w:style>
  <w:style w:type="character" w:customStyle="1" w:styleId="22">
    <w:name w:val="Основной текст с отступом 2 Знак"/>
    <w:link w:val="20"/>
    <w:rsid w:val="0081728A"/>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70601"/>
    <w:pPr>
      <w:spacing w:after="160" w:line="240" w:lineRule="exact"/>
    </w:pPr>
    <w:rPr>
      <w:sz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footnote reference" w:locked="1"/>
    <w:lsdException w:name="Title" w:locked="1" w:qFormat="1"/>
    <w:lsdException w:name="Subtitle" w:locked="1" w:qFormat="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7BE"/>
  </w:style>
  <w:style w:type="paragraph" w:styleId="1">
    <w:name w:val="heading 1"/>
    <w:basedOn w:val="a"/>
    <w:next w:val="a"/>
    <w:qFormat/>
    <w:rsid w:val="008E27BE"/>
    <w:pPr>
      <w:keepNext/>
      <w:spacing w:before="120" w:line="-360" w:lineRule="auto"/>
      <w:ind w:firstLine="709"/>
      <w:jc w:val="center"/>
      <w:outlineLvl w:val="0"/>
    </w:pPr>
    <w:rPr>
      <w:b/>
      <w:sz w:val="26"/>
    </w:rPr>
  </w:style>
  <w:style w:type="paragraph" w:styleId="2">
    <w:name w:val="heading 2"/>
    <w:basedOn w:val="a"/>
    <w:next w:val="a"/>
    <w:qFormat/>
    <w:rsid w:val="008E27BE"/>
    <w:pPr>
      <w:keepNext/>
      <w:spacing w:before="60" w:after="120" w:line="240" w:lineRule="exact"/>
      <w:ind w:left="355"/>
      <w:jc w:val="both"/>
      <w:outlineLvl w:val="1"/>
    </w:pPr>
    <w:rPr>
      <w:b/>
      <w:sz w:val="22"/>
    </w:rPr>
  </w:style>
  <w:style w:type="paragraph" w:styleId="3">
    <w:name w:val="heading 3"/>
    <w:basedOn w:val="a"/>
    <w:next w:val="a"/>
    <w:qFormat/>
    <w:rsid w:val="008E27BE"/>
    <w:pPr>
      <w:keepNext/>
      <w:spacing w:before="120" w:line="200" w:lineRule="exact"/>
      <w:ind w:left="57"/>
      <w:outlineLvl w:val="2"/>
    </w:pPr>
    <w:rPr>
      <w:b/>
      <w:sz w:val="22"/>
      <w:lang w:val="en-US"/>
    </w:rPr>
  </w:style>
  <w:style w:type="paragraph" w:styleId="4">
    <w:name w:val="heading 4"/>
    <w:basedOn w:val="a"/>
    <w:next w:val="a"/>
    <w:qFormat/>
    <w:rsid w:val="008E27BE"/>
    <w:pPr>
      <w:keepNext/>
      <w:spacing w:before="120" w:after="120" w:line="240" w:lineRule="exact"/>
      <w:ind w:left="142"/>
      <w:outlineLvl w:val="3"/>
    </w:pPr>
    <w:rPr>
      <w:b/>
      <w:sz w:val="22"/>
    </w:rPr>
  </w:style>
  <w:style w:type="paragraph" w:styleId="5">
    <w:name w:val="heading 5"/>
    <w:basedOn w:val="a"/>
    <w:next w:val="a"/>
    <w:qFormat/>
    <w:rsid w:val="008E27BE"/>
    <w:pPr>
      <w:keepNext/>
      <w:spacing w:before="60" w:after="120" w:line="240" w:lineRule="exact"/>
      <w:outlineLvl w:val="4"/>
    </w:pPr>
    <w:rPr>
      <w:b/>
      <w:sz w:val="22"/>
      <w:lang w:val="en-US"/>
    </w:rPr>
  </w:style>
  <w:style w:type="paragraph" w:styleId="6">
    <w:name w:val="heading 6"/>
    <w:basedOn w:val="a"/>
    <w:next w:val="a"/>
    <w:qFormat/>
    <w:rsid w:val="008E27BE"/>
    <w:pPr>
      <w:keepNext/>
      <w:spacing w:before="120" w:after="60" w:line="200" w:lineRule="exact"/>
      <w:ind w:left="113"/>
      <w:outlineLvl w:val="5"/>
    </w:pPr>
    <w:rPr>
      <w:b/>
      <w:sz w:val="22"/>
    </w:rPr>
  </w:style>
  <w:style w:type="paragraph" w:styleId="7">
    <w:name w:val="heading 7"/>
    <w:basedOn w:val="a"/>
    <w:next w:val="a"/>
    <w:qFormat/>
    <w:rsid w:val="008E27BE"/>
    <w:pPr>
      <w:keepNext/>
      <w:spacing w:before="60" w:after="40" w:line="200" w:lineRule="exact"/>
      <w:ind w:left="227"/>
      <w:outlineLvl w:val="6"/>
    </w:pPr>
    <w:rPr>
      <w:b/>
      <w:sz w:val="22"/>
      <w:lang w:val="en-US"/>
    </w:rPr>
  </w:style>
  <w:style w:type="paragraph" w:styleId="8">
    <w:name w:val="heading 8"/>
    <w:basedOn w:val="a"/>
    <w:next w:val="a"/>
    <w:qFormat/>
    <w:rsid w:val="008E27BE"/>
    <w:pPr>
      <w:keepNext/>
      <w:spacing w:before="40" w:after="40" w:line="200" w:lineRule="exact"/>
      <w:ind w:left="71"/>
      <w:outlineLvl w:val="7"/>
    </w:pPr>
    <w:rPr>
      <w:b/>
      <w:sz w:val="22"/>
    </w:rPr>
  </w:style>
  <w:style w:type="paragraph" w:styleId="9">
    <w:name w:val="heading 9"/>
    <w:basedOn w:val="a"/>
    <w:next w:val="a"/>
    <w:qFormat/>
    <w:rsid w:val="008E27BE"/>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7BE"/>
    <w:pPr>
      <w:tabs>
        <w:tab w:val="center" w:pos="4153"/>
        <w:tab w:val="right" w:pos="8306"/>
      </w:tabs>
    </w:pPr>
  </w:style>
  <w:style w:type="character" w:customStyle="1" w:styleId="iiianoaieou">
    <w:name w:val="iiia? no?aieou"/>
    <w:rsid w:val="008E27BE"/>
    <w:rPr>
      <w:rFonts w:cs="Times New Roman"/>
    </w:rPr>
  </w:style>
  <w:style w:type="paragraph" w:styleId="a5">
    <w:name w:val="footer"/>
    <w:basedOn w:val="a"/>
    <w:rsid w:val="008E27BE"/>
    <w:pPr>
      <w:tabs>
        <w:tab w:val="center" w:pos="4536"/>
        <w:tab w:val="right" w:pos="9072"/>
      </w:tabs>
    </w:pPr>
  </w:style>
  <w:style w:type="paragraph" w:customStyle="1" w:styleId="21">
    <w:name w:val="Основной текст 21"/>
    <w:basedOn w:val="a"/>
    <w:rsid w:val="008E27BE"/>
    <w:pPr>
      <w:spacing w:before="120" w:line="340" w:lineRule="exact"/>
      <w:ind w:right="-1" w:firstLine="709"/>
      <w:jc w:val="both"/>
    </w:pPr>
    <w:rPr>
      <w:sz w:val="26"/>
    </w:rPr>
  </w:style>
  <w:style w:type="paragraph" w:customStyle="1" w:styleId="Aaoieeeieiioeooe1">
    <w:name w:val="Aa?oiee eieiioeooe1"/>
    <w:basedOn w:val="a"/>
    <w:rsid w:val="008E27BE"/>
    <w:pPr>
      <w:tabs>
        <w:tab w:val="center" w:pos="4153"/>
        <w:tab w:val="right" w:pos="8306"/>
      </w:tabs>
    </w:pPr>
  </w:style>
  <w:style w:type="character" w:customStyle="1" w:styleId="iiianoaieou1">
    <w:name w:val="iiia? no?aieou1"/>
    <w:rsid w:val="008E27BE"/>
    <w:rPr>
      <w:rFonts w:cs="Times New Roman"/>
    </w:rPr>
  </w:style>
  <w:style w:type="paragraph" w:customStyle="1" w:styleId="Ieieeeieiioeooe1">
    <w:name w:val="Ie?iee eieiioeooe1"/>
    <w:basedOn w:val="a"/>
    <w:rsid w:val="008E27BE"/>
    <w:pPr>
      <w:tabs>
        <w:tab w:val="center" w:pos="4536"/>
        <w:tab w:val="right" w:pos="9072"/>
      </w:tabs>
    </w:pPr>
  </w:style>
  <w:style w:type="character" w:styleId="a6">
    <w:name w:val="page number"/>
    <w:rsid w:val="008E27BE"/>
    <w:rPr>
      <w:rFonts w:cs="Times New Roman"/>
    </w:rPr>
  </w:style>
  <w:style w:type="character" w:styleId="a7">
    <w:name w:val="line number"/>
    <w:rsid w:val="008E27BE"/>
    <w:rPr>
      <w:rFonts w:cs="Times New Roman"/>
    </w:rPr>
  </w:style>
  <w:style w:type="paragraph" w:styleId="a8">
    <w:name w:val="Body Text Indent"/>
    <w:basedOn w:val="a"/>
    <w:link w:val="a9"/>
    <w:rsid w:val="008E27BE"/>
    <w:pPr>
      <w:spacing w:before="120" w:line="360" w:lineRule="exact"/>
      <w:ind w:firstLine="709"/>
      <w:jc w:val="both"/>
    </w:pPr>
    <w:rPr>
      <w:sz w:val="26"/>
    </w:rPr>
  </w:style>
  <w:style w:type="paragraph" w:styleId="aa">
    <w:name w:val="Title"/>
    <w:basedOn w:val="a"/>
    <w:link w:val="ab"/>
    <w:qFormat/>
    <w:rsid w:val="008E27BE"/>
    <w:pPr>
      <w:jc w:val="center"/>
    </w:pPr>
    <w:rPr>
      <w:rFonts w:ascii="Arial" w:hAnsi="Arial"/>
      <w:b/>
      <w:sz w:val="28"/>
    </w:rPr>
  </w:style>
  <w:style w:type="character" w:styleId="ac">
    <w:name w:val="footnote reference"/>
    <w:semiHidden/>
    <w:rsid w:val="008E27BE"/>
    <w:rPr>
      <w:rFonts w:cs="Times New Roman"/>
      <w:vertAlign w:val="superscript"/>
    </w:rPr>
  </w:style>
  <w:style w:type="paragraph" w:styleId="ad">
    <w:name w:val="footnote text"/>
    <w:basedOn w:val="a"/>
    <w:semiHidden/>
    <w:rsid w:val="008E27BE"/>
  </w:style>
  <w:style w:type="paragraph" w:styleId="ae">
    <w:name w:val="Body Text"/>
    <w:basedOn w:val="a"/>
    <w:rsid w:val="008E27BE"/>
    <w:rPr>
      <w:b/>
      <w:sz w:val="22"/>
    </w:rPr>
  </w:style>
  <w:style w:type="paragraph" w:styleId="20">
    <w:name w:val="Body Text Indent 2"/>
    <w:basedOn w:val="a"/>
    <w:link w:val="22"/>
    <w:rsid w:val="008E27BE"/>
    <w:pPr>
      <w:spacing w:before="120" w:line="360" w:lineRule="auto"/>
      <w:ind w:firstLine="567"/>
      <w:jc w:val="both"/>
    </w:pPr>
    <w:rPr>
      <w:sz w:val="26"/>
    </w:rPr>
  </w:style>
  <w:style w:type="paragraph" w:styleId="af">
    <w:name w:val="caption"/>
    <w:basedOn w:val="a"/>
    <w:next w:val="a"/>
    <w:qFormat/>
    <w:rsid w:val="008E27BE"/>
    <w:pPr>
      <w:spacing w:before="120" w:line="240" w:lineRule="exact"/>
      <w:jc w:val="center"/>
    </w:pPr>
    <w:rPr>
      <w:b/>
      <w:sz w:val="24"/>
    </w:rPr>
  </w:style>
  <w:style w:type="paragraph" w:styleId="30">
    <w:name w:val="Body Text Indent 3"/>
    <w:basedOn w:val="a"/>
    <w:rsid w:val="008E27BE"/>
    <w:pPr>
      <w:spacing w:before="120" w:line="400" w:lineRule="exact"/>
      <w:ind w:firstLine="709"/>
      <w:jc w:val="both"/>
    </w:pPr>
    <w:rPr>
      <w:sz w:val="26"/>
    </w:rPr>
  </w:style>
  <w:style w:type="paragraph" w:styleId="23">
    <w:name w:val="Body Text 2"/>
    <w:basedOn w:val="a"/>
    <w:rsid w:val="008E27BE"/>
    <w:rPr>
      <w:rFonts w:ascii="Arial" w:hAnsi="Arial" w:cs="Arial"/>
      <w:b/>
      <w:bCs/>
      <w:color w:val="000000"/>
      <w:sz w:val="24"/>
      <w:szCs w:val="24"/>
      <w:lang w:val="en-US"/>
    </w:rPr>
  </w:style>
  <w:style w:type="paragraph" w:customStyle="1" w:styleId="xl35">
    <w:name w:val="xl35"/>
    <w:basedOn w:val="a"/>
    <w:rsid w:val="008E27BE"/>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rsid w:val="008E27BE"/>
  </w:style>
  <w:style w:type="character" w:styleId="af1">
    <w:name w:val="endnote reference"/>
    <w:semiHidden/>
    <w:rsid w:val="008E27BE"/>
    <w:rPr>
      <w:rFonts w:cs="Times New Roman"/>
      <w:vertAlign w:val="superscript"/>
    </w:rPr>
  </w:style>
  <w:style w:type="table" w:styleId="af2">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1C169F"/>
    <w:rPr>
      <w:rFonts w:ascii="Tahoma" w:hAnsi="Tahoma" w:cs="Tahoma"/>
      <w:sz w:val="16"/>
      <w:szCs w:val="16"/>
    </w:rPr>
  </w:style>
  <w:style w:type="paragraph" w:customStyle="1" w:styleId="24">
    <w:name w:val="Нормальный.табул 2"/>
    <w:rsid w:val="00DA1B53"/>
    <w:pPr>
      <w:tabs>
        <w:tab w:val="decimal" w:pos="624"/>
      </w:tabs>
    </w:pPr>
  </w:style>
  <w:style w:type="character" w:customStyle="1" w:styleId="a4">
    <w:name w:val="Верхний колонтитул Знак"/>
    <w:link w:val="a3"/>
    <w:locked/>
    <w:rsid w:val="00717305"/>
    <w:rPr>
      <w:rFonts w:cs="Times New Roman"/>
    </w:rPr>
  </w:style>
  <w:style w:type="character" w:customStyle="1" w:styleId="a9">
    <w:name w:val="Основной текст с отступом Знак"/>
    <w:link w:val="a8"/>
    <w:locked/>
    <w:rsid w:val="00FD5F9A"/>
    <w:rPr>
      <w:rFonts w:cs="Times New Roman"/>
      <w:sz w:val="26"/>
    </w:rPr>
  </w:style>
  <w:style w:type="character" w:customStyle="1" w:styleId="ab">
    <w:name w:val="Название Знак"/>
    <w:link w:val="aa"/>
    <w:locked/>
    <w:rsid w:val="00FB5A1E"/>
    <w:rPr>
      <w:rFonts w:ascii="Arial" w:hAnsi="Arial" w:cs="Times New Roman"/>
      <w:b/>
      <w:sz w:val="28"/>
    </w:rPr>
  </w:style>
  <w:style w:type="paragraph" w:customStyle="1" w:styleId="10">
    <w:name w:val="Абзац списка1"/>
    <w:basedOn w:val="a"/>
    <w:rsid w:val="00D22344"/>
    <w:pPr>
      <w:ind w:left="720"/>
    </w:pPr>
  </w:style>
  <w:style w:type="character" w:customStyle="1" w:styleId="22">
    <w:name w:val="Основной текст с отступом 2 Знак"/>
    <w:link w:val="20"/>
    <w:rsid w:val="0081728A"/>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70601"/>
    <w:pPr>
      <w:spacing w:after="160" w:line="240" w:lineRule="exact"/>
    </w:pPr>
    <w:rPr>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628510092">
      <w:bodyDiv w:val="1"/>
      <w:marLeft w:val="0"/>
      <w:marRight w:val="0"/>
      <w:marTop w:val="0"/>
      <w:marBottom w:val="0"/>
      <w:divBdr>
        <w:top w:val="none" w:sz="0" w:space="0" w:color="auto"/>
        <w:left w:val="none" w:sz="0" w:space="0" w:color="auto"/>
        <w:bottom w:val="none" w:sz="0" w:space="0" w:color="auto"/>
        <w:right w:val="none" w:sz="0" w:space="0" w:color="auto"/>
      </w:divBdr>
    </w:div>
    <w:div w:id="171974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769538144152773E-2"/>
          <c:y val="2.4233407456012442E-2"/>
          <c:w val="0.89347739122574543"/>
          <c:h val="0.8051561796878115"/>
        </c:manualLayout>
      </c:layout>
      <c:lineChart>
        <c:grouping val="standard"/>
        <c:varyColors val="0"/>
        <c:ser>
          <c:idx val="1"/>
          <c:order val="0"/>
          <c:spPr>
            <a:ln w="11430">
              <a:solidFill>
                <a:srgbClr val="008000"/>
              </a:solidFill>
              <a:prstDash val="solid"/>
            </a:ln>
          </c:spPr>
          <c:marker>
            <c:symbol val="square"/>
            <c:size val="3"/>
            <c:spPr>
              <a:solidFill>
                <a:srgbClr val="008000"/>
              </a:solidFill>
              <a:ln>
                <a:solidFill>
                  <a:srgbClr val="008000"/>
                </a:solidFill>
                <a:prstDash val="solid"/>
              </a:ln>
            </c:spPr>
          </c:marker>
          <c:dPt>
            <c:idx val="4"/>
            <c:marker>
              <c:spPr>
                <a:solidFill>
                  <a:schemeClr val="accent6">
                    <a:lumMod val="75000"/>
                  </a:schemeClr>
                </a:solidFill>
                <a:ln>
                  <a:solidFill>
                    <a:schemeClr val="accent6">
                      <a:lumMod val="75000"/>
                    </a:schemeClr>
                  </a:solidFill>
                  <a:prstDash val="solid"/>
                </a:ln>
              </c:spPr>
            </c:marker>
            <c:bubble3D val="0"/>
            <c:spPr>
              <a:ln w="11430">
                <a:solidFill>
                  <a:schemeClr val="accent6">
                    <a:lumMod val="75000"/>
                  </a:schemeClr>
                </a:solidFill>
                <a:prstDash val="solid"/>
              </a:ln>
            </c:spPr>
          </c:dPt>
          <c:dLbls>
            <c:dLbl>
              <c:idx val="0"/>
              <c:layout>
                <c:manualLayout>
                  <c:x val="-4.31117488733785E-3"/>
                  <c:y val="3.2913583284728383E-2"/>
                </c:manualLayout>
              </c:layout>
              <c:dLblPos val="r"/>
              <c:showLegendKey val="0"/>
              <c:showVal val="1"/>
              <c:showCatName val="0"/>
              <c:showSerName val="0"/>
              <c:showPercent val="0"/>
              <c:showBubbleSize val="0"/>
            </c:dLbl>
            <c:dLbl>
              <c:idx val="1"/>
              <c:layout>
                <c:manualLayout>
                  <c:x val="-4.3300297362382147E-2"/>
                  <c:y val="-4.5756704457081757E-2"/>
                </c:manualLayout>
              </c:layout>
              <c:dLblPos val="r"/>
              <c:showLegendKey val="0"/>
              <c:showVal val="1"/>
              <c:showCatName val="0"/>
              <c:showSerName val="0"/>
              <c:showPercent val="0"/>
              <c:showBubbleSize val="0"/>
            </c:dLbl>
            <c:dLbl>
              <c:idx val="2"/>
              <c:layout>
                <c:manualLayout>
                  <c:x val="-3.5853678643816285E-2"/>
                  <c:y val="-4.701473947700982E-2"/>
                </c:manualLayout>
              </c:layout>
              <c:dLblPos val="r"/>
              <c:showLegendKey val="0"/>
              <c:showVal val="1"/>
              <c:showCatName val="0"/>
              <c:showSerName val="0"/>
              <c:showPercent val="0"/>
              <c:showBubbleSize val="0"/>
            </c:dLbl>
            <c:dLbl>
              <c:idx val="3"/>
              <c:layout>
                <c:manualLayout>
                  <c:x val="-2.8714437436358847E-2"/>
                  <c:y val="-3.9227681175269757E-2"/>
                </c:manualLayout>
              </c:layout>
              <c:dLblPos val="r"/>
              <c:showLegendKey val="0"/>
              <c:showVal val="1"/>
              <c:showCatName val="0"/>
              <c:showSerName val="0"/>
              <c:showPercent val="0"/>
              <c:showBubbleSize val="0"/>
            </c:dLbl>
            <c:dLbl>
              <c:idx val="4"/>
              <c:layout>
                <c:manualLayout>
                  <c:x val="-2.0894103053422822E-2"/>
                  <c:y val="5.6827260741712841E-2"/>
                </c:manualLayout>
              </c:layout>
              <c:dLblPos val="r"/>
              <c:showLegendKey val="0"/>
              <c:showVal val="1"/>
              <c:showCatName val="0"/>
              <c:showSerName val="0"/>
              <c:showPercent val="0"/>
              <c:showBubbleSize val="0"/>
            </c:dLbl>
            <c:dLbl>
              <c:idx val="5"/>
              <c:layout>
                <c:manualLayout>
                  <c:x val="-6.4306680016483472E-2"/>
                  <c:y val="-6.0092078097620544E-2"/>
                </c:manualLayout>
              </c:layout>
              <c:showLegendKey val="0"/>
              <c:showVal val="1"/>
              <c:showCatName val="0"/>
              <c:showSerName val="0"/>
              <c:showPercent val="0"/>
              <c:showBubbleSize val="0"/>
            </c:dLbl>
            <c:txPr>
              <a:bodyPr/>
              <a:lstStyle/>
              <a:p>
                <a:pPr>
                  <a:defRPr sz="922" b="0"/>
                </a:pPr>
                <a:endParaRPr lang="ru-RU"/>
              </a:p>
            </c:txPr>
            <c:showLegendKey val="0"/>
            <c:showVal val="1"/>
            <c:showCatName val="0"/>
            <c:showSerName val="0"/>
            <c:showPercent val="0"/>
            <c:showBubbleSize val="0"/>
            <c:showLeaderLines val="0"/>
          </c:dLbls>
          <c:cat>
            <c:strRef>
              <c:f>Sheet1!$N$1:$R$1</c:f>
              <c:strCache>
                <c:ptCount val="5"/>
                <c:pt idx="0">
                  <c:v>I-III</c:v>
                </c:pt>
                <c:pt idx="1">
                  <c:v>I-VI</c:v>
                </c:pt>
                <c:pt idx="2">
                  <c:v>I-IX</c:v>
                </c:pt>
                <c:pt idx="3">
                  <c:v>I-XII</c:v>
                </c:pt>
                <c:pt idx="4">
                  <c:v>I-III</c:v>
                </c:pt>
              </c:strCache>
            </c:strRef>
          </c:cat>
          <c:val>
            <c:numRef>
              <c:f>Sheet1!$N$2:$R$2</c:f>
              <c:numCache>
                <c:formatCode>General</c:formatCode>
                <c:ptCount val="5"/>
                <c:pt idx="0">
                  <c:v>99.5</c:v>
                </c:pt>
                <c:pt idx="1">
                  <c:v>110.7</c:v>
                </c:pt>
                <c:pt idx="2">
                  <c:v>111.1</c:v>
                </c:pt>
                <c:pt idx="3">
                  <c:v>113.3</c:v>
                </c:pt>
                <c:pt idx="4">
                  <c:v>104.2</c:v>
                </c:pt>
              </c:numCache>
            </c:numRef>
          </c:val>
          <c:smooth val="1"/>
        </c:ser>
        <c:dLbls>
          <c:showLegendKey val="0"/>
          <c:showVal val="0"/>
          <c:showCatName val="0"/>
          <c:showSerName val="0"/>
          <c:showPercent val="0"/>
          <c:showBubbleSize val="0"/>
        </c:dLbls>
        <c:marker val="1"/>
        <c:smooth val="0"/>
        <c:axId val="100503936"/>
        <c:axId val="100505472"/>
      </c:lineChart>
      <c:catAx>
        <c:axId val="100503936"/>
        <c:scaling>
          <c:orientation val="minMax"/>
        </c:scaling>
        <c:delete val="0"/>
        <c:axPos val="b"/>
        <c:numFmt formatCode="General" sourceLinked="1"/>
        <c:majorTickMark val="out"/>
        <c:minorTickMark val="none"/>
        <c:tickLblPos val="low"/>
        <c:spPr>
          <a:ln w="292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0505472"/>
        <c:crossesAt val="100"/>
        <c:auto val="0"/>
        <c:lblAlgn val="ctr"/>
        <c:lblOffset val="100"/>
        <c:tickLblSkip val="1"/>
        <c:tickMarkSkip val="1"/>
        <c:noMultiLvlLbl val="0"/>
      </c:catAx>
      <c:valAx>
        <c:axId val="100505472"/>
        <c:scaling>
          <c:orientation val="minMax"/>
          <c:max val="115"/>
          <c:min val="95"/>
        </c:scaling>
        <c:delete val="0"/>
        <c:axPos val="l"/>
        <c:majorGridlines>
          <c:spPr>
            <a:ln w="11707">
              <a:solidFill>
                <a:srgbClr val="C0C0C0"/>
              </a:solidFill>
              <a:prstDash val="solid"/>
            </a:ln>
          </c:spPr>
        </c:majorGridlines>
        <c:numFmt formatCode="0" sourceLinked="0"/>
        <c:majorTickMark val="cross"/>
        <c:minorTickMark val="cross"/>
        <c:tickLblPos val="low"/>
        <c:spPr>
          <a:ln w="292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0503936"/>
        <c:crosses val="autoZero"/>
        <c:crossBetween val="midCat"/>
        <c:majorUnit val="5"/>
        <c:minorUnit val="5"/>
      </c:valAx>
      <c:spPr>
        <a:solidFill>
          <a:srgbClr val="EAEAEA"/>
        </a:solidFill>
        <a:ln w="23416">
          <a:noFill/>
        </a:ln>
      </c:spPr>
    </c:plotArea>
    <c:plotVisOnly val="1"/>
    <c:dispBlanksAs val="gap"/>
    <c:showDLblsOverMax val="0"/>
  </c:chart>
  <c:spPr>
    <a:noFill/>
    <a:ln>
      <a:noFill/>
    </a:ln>
  </c:spPr>
  <c:txPr>
    <a:bodyPr/>
    <a:lstStyle/>
    <a:p>
      <a:pPr>
        <a:defRPr sz="738" b="1" i="0" u="none" strike="noStrike" baseline="0">
          <a:solidFill>
            <a:srgbClr val="000000"/>
          </a:solidFill>
          <a:latin typeface="Arial"/>
          <a:ea typeface="Arial"/>
          <a:cs typeface="Arial"/>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C6A90A2-A195-475D-A81C-929D98717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153</Words>
  <Characters>877</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ПОТРЕБИТЕЛЬСКИЙ РЫНОК.ДОКЛАД.</vt:lpstr>
    </vt:vector>
  </TitlesOfParts>
  <Company>Информстат</Company>
  <LinksUpToDate>false</LinksUpToDate>
  <CharactersWithSpaces>1028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ПОТРЕБИТЕЛЬСКИЙ РЫНОК.ДОКЛАД.</dc:title>
  <dc:creator>Буцкая</dc:creator>
  <dc:description>A REGIONALIZAЗГO Й UM ERRO COLOSSAL!</dc:description>
  <cp:lastModifiedBy>Климова Екатерина Сергеевна</cp:lastModifiedBy>
  <cp:revision>11</cp:revision>
  <cp:lastPrinted>2022-05-19T08:38:00Z</cp:lastPrinted>
  <dcterms:created xsi:type="dcterms:W3CDTF">2022-05-18T15:23:00Z</dcterms:created>
  <dcterms:modified xsi:type="dcterms:W3CDTF">2022-05-25T11:56:00Z</dcterms:modified>
</cp:coreProperties>
</file>