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2B35EF">
      <w:pPr>
        <w:pStyle w:val="20"/>
        <w:spacing w:after="2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886495" w:rsidRPr="00886495">
        <w:t xml:space="preserve"> </w:t>
      </w:r>
      <w:r w:rsidR="00886495">
        <w:br/>
      </w:r>
      <w:r w:rsidR="00494896" w:rsidRPr="00886495">
        <w:t xml:space="preserve">за </w:t>
      </w:r>
      <w:r w:rsidR="00B641A4" w:rsidRPr="00886495">
        <w:rPr>
          <w:szCs w:val="26"/>
        </w:rPr>
        <w:t>январь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20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январ</w:t>
      </w:r>
      <w:r w:rsidR="005A4CC4">
        <w:t>е</w:t>
      </w:r>
      <w:r w:rsidR="00FA7E19" w:rsidRPr="00886495">
        <w:rPr>
          <w:szCs w:val="26"/>
        </w:rPr>
        <w:t xml:space="preserve"> </w:t>
      </w:r>
      <w:r w:rsidRPr="00886495">
        <w:t>20</w:t>
      </w:r>
      <w:r w:rsidR="005A4CC4">
        <w:t>20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B44643" w:rsidRPr="005336CB">
        <w:rPr>
          <w:szCs w:val="26"/>
          <w:shd w:val="clear" w:color="auto" w:fill="FFFFFF" w:themeFill="background1"/>
        </w:rPr>
        <w:t>1</w:t>
      </w:r>
      <w:r w:rsidR="005336CB" w:rsidRPr="005336CB">
        <w:rPr>
          <w:szCs w:val="26"/>
          <w:shd w:val="clear" w:color="auto" w:fill="FFFFFF" w:themeFill="background1"/>
        </w:rPr>
        <w:t>0,4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B641A4" w:rsidRPr="00886495">
        <w:rPr>
          <w:szCs w:val="26"/>
        </w:rPr>
        <w:t>январь</w:t>
      </w:r>
      <w:r w:rsidR="005A4CC4">
        <w:rPr>
          <w:szCs w:val="26"/>
        </w:rPr>
        <w:t xml:space="preserve"> </w:t>
      </w:r>
      <w:r w:rsidR="003E505B" w:rsidRPr="00886495">
        <w:t>20</w:t>
      </w:r>
      <w:r w:rsidR="005A4CC4">
        <w:t>20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886495" w:rsidRPr="00886495">
        <w:rPr>
          <w:szCs w:val="26"/>
        </w:rPr>
        <w:t xml:space="preserve"> </w:t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5336CB">
        <w:rPr>
          <w:szCs w:val="26"/>
        </w:rPr>
        <w:t>98</w:t>
      </w:r>
      <w:r w:rsidR="00560661" w:rsidRPr="005336CB">
        <w:rPr>
          <w:szCs w:val="26"/>
          <w:shd w:val="clear" w:color="auto" w:fill="FFFFFF" w:themeFill="background1"/>
        </w:rPr>
        <w:t>,1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F71301" w:rsidRPr="00886495">
        <w:rPr>
          <w:szCs w:val="26"/>
        </w:rPr>
        <w:t xml:space="preserve"> при </w:t>
      </w:r>
      <w:r w:rsidR="00745F1A">
        <w:rPr>
          <w:szCs w:val="26"/>
        </w:rPr>
        <w:t>задании</w:t>
      </w:r>
      <w:r w:rsidR="00F71301" w:rsidRPr="00886495">
        <w:rPr>
          <w:szCs w:val="26"/>
        </w:rPr>
        <w:t xml:space="preserve"> на </w:t>
      </w:r>
      <w:r w:rsidR="005A4CC4">
        <w:rPr>
          <w:szCs w:val="26"/>
          <w:lang w:val="en-US"/>
        </w:rPr>
        <w:t>I</w:t>
      </w:r>
      <w:r w:rsidR="005A4CC4">
        <w:rPr>
          <w:szCs w:val="26"/>
        </w:rPr>
        <w:t xml:space="preserve"> квартал </w:t>
      </w:r>
      <w:r w:rsidR="00F71301" w:rsidRPr="00886495">
        <w:rPr>
          <w:szCs w:val="26"/>
        </w:rPr>
        <w:t>20</w:t>
      </w:r>
      <w:r w:rsidR="005A4CC4">
        <w:rPr>
          <w:szCs w:val="26"/>
        </w:rPr>
        <w:t>20</w:t>
      </w:r>
      <w:r w:rsidR="00F71301" w:rsidRPr="00886495">
        <w:rPr>
          <w:szCs w:val="26"/>
        </w:rPr>
        <w:t> </w:t>
      </w:r>
      <w:r w:rsidR="00473406" w:rsidRPr="00886495">
        <w:rPr>
          <w:szCs w:val="26"/>
        </w:rPr>
        <w:t>г</w:t>
      </w:r>
      <w:r w:rsidR="005A4CC4">
        <w:rPr>
          <w:szCs w:val="26"/>
        </w:rPr>
        <w:t>.</w:t>
      </w:r>
      <w:r w:rsidR="00886495">
        <w:rPr>
          <w:szCs w:val="26"/>
        </w:rPr>
        <w:t xml:space="preserve"> </w:t>
      </w:r>
      <w:r w:rsidR="001C5646" w:rsidRPr="00886495">
        <w:t xml:space="preserve">в соответствии </w:t>
      </w:r>
      <w:r w:rsidR="001C651A" w:rsidRPr="00886495">
        <w:t xml:space="preserve">с </w:t>
      </w:r>
      <w:r w:rsidR="005A4CC4">
        <w:t>постановлением Совета Министров</w:t>
      </w:r>
      <w:r w:rsidR="001C651A" w:rsidRPr="00886495">
        <w:rPr>
          <w:szCs w:val="26"/>
        </w:rPr>
        <w:t xml:space="preserve"> Республики Беларусь</w:t>
      </w:r>
      <w:r w:rsidR="00886495">
        <w:rPr>
          <w:szCs w:val="26"/>
        </w:rPr>
        <w:t xml:space="preserve"> </w:t>
      </w:r>
      <w:r w:rsidR="00E23F50" w:rsidRPr="00886495">
        <w:rPr>
          <w:szCs w:val="26"/>
        </w:rPr>
        <w:t>от 2</w:t>
      </w:r>
      <w:r w:rsidR="005A4CC4">
        <w:rPr>
          <w:szCs w:val="26"/>
        </w:rPr>
        <w:t>7</w:t>
      </w:r>
      <w:r w:rsidR="00E23F50" w:rsidRPr="00886495">
        <w:rPr>
          <w:szCs w:val="26"/>
        </w:rPr>
        <w:t xml:space="preserve"> декабря 20</w:t>
      </w:r>
      <w:r w:rsidR="005A4CC4">
        <w:rPr>
          <w:szCs w:val="26"/>
        </w:rPr>
        <w:t>19</w:t>
      </w:r>
      <w:r w:rsidR="00E23F50" w:rsidRPr="00886495">
        <w:rPr>
          <w:szCs w:val="26"/>
        </w:rPr>
        <w:t xml:space="preserve"> г. № </w:t>
      </w:r>
      <w:r w:rsidR="005A4CC4">
        <w:rPr>
          <w:szCs w:val="26"/>
        </w:rPr>
        <w:t>921</w:t>
      </w:r>
      <w:r w:rsidR="00E23F50" w:rsidRPr="00886495">
        <w:rPr>
          <w:szCs w:val="26"/>
        </w:rPr>
        <w:t xml:space="preserve"> </w:t>
      </w:r>
      <w:r w:rsidR="00E23F50" w:rsidRPr="00886495">
        <w:t>– 10</w:t>
      </w:r>
      <w:r w:rsidR="005A4CC4">
        <w:t>0,7</w:t>
      </w:r>
      <w:r w:rsidR="00E23F50" w:rsidRPr="00886495">
        <w:t>%</w:t>
      </w:r>
      <w:r w:rsidR="00E23F50" w:rsidRPr="00886495">
        <w:rPr>
          <w:szCs w:val="26"/>
        </w:rPr>
        <w:t>, индекс-дефлятор ВВП –</w:t>
      </w:r>
      <w:r w:rsidR="0054518E" w:rsidRPr="00886495">
        <w:rPr>
          <w:szCs w:val="26"/>
        </w:rPr>
        <w:t xml:space="preserve"> </w:t>
      </w:r>
      <w:r w:rsidR="00560661" w:rsidRPr="00886495">
        <w:rPr>
          <w:szCs w:val="26"/>
        </w:rPr>
        <w:t>10</w:t>
      </w:r>
      <w:r w:rsidR="005A4CC4">
        <w:rPr>
          <w:szCs w:val="26"/>
        </w:rPr>
        <w:t>5,</w:t>
      </w:r>
      <w:r w:rsidR="00957BF0" w:rsidRPr="00957BF0">
        <w:rPr>
          <w:szCs w:val="26"/>
        </w:rPr>
        <w:t>3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-167005</wp:posOffset>
            </wp:positionH>
            <wp:positionV relativeFrom="paragraph">
              <wp:posOffset>106045</wp:posOffset>
            </wp:positionV>
            <wp:extent cx="6086475" cy="1981200"/>
            <wp:effectExtent l="0" t="0" r="9525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2F579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436C8E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 w:rsidR="00FA7E19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3D05D6">
              <w:rPr>
                <w:spacing w:val="-4"/>
                <w:sz w:val="22"/>
                <w:szCs w:val="22"/>
              </w:rPr>
              <w:t>январю</w:t>
            </w:r>
          </w:p>
          <w:p w:rsidR="008C456D" w:rsidRPr="00E5170D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57BF0" w:rsidRPr="00957BF0">
              <w:rPr>
                <w:sz w:val="22"/>
                <w:szCs w:val="22"/>
              </w:rPr>
              <w:t>9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C50E89" w:rsidRDefault="00C50E89" w:rsidP="00AD66CB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10 390,9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1F14F1" w:rsidP="00AD66CB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D66CB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C50E89" w:rsidP="00AD66CB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7 898,2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C50E89" w:rsidP="002F579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E89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1 953,6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E89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C50E89" w:rsidP="00AD66CB">
            <w:pPr>
              <w:tabs>
                <w:tab w:val="left" w:pos="356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C50E89" w:rsidP="002F5795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9208D2" w:rsidRDefault="001F14F1" w:rsidP="00AD66CB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886495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886495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C50E89" w:rsidP="00AD66CB">
            <w:pPr>
              <w:tabs>
                <w:tab w:val="left" w:pos="356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C50E89" w:rsidP="002F5795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Pr="009208D2" w:rsidRDefault="001F14F1" w:rsidP="00AD66CB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CC04B0" w:rsidP="00AD66CB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2 492,7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E89" w:rsidRPr="006C7DF0" w:rsidRDefault="00391515" w:rsidP="002F579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1F14F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98,3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 в январе 20</w:t>
      </w:r>
      <w:r w:rsidR="00436C8E" w:rsidRPr="00436C8E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9439FD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8.6pt;margin-top:10.85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152F54">
                    <w:rPr>
                      <w:rFonts w:ascii="Arial" w:hAnsi="Arial" w:cs="Arial"/>
                      <w:sz w:val="18"/>
                    </w:rPr>
                    <w:t>98</w:t>
                  </w:r>
                  <w:r w:rsidR="00396234">
                    <w:rPr>
                      <w:rFonts w:ascii="Arial" w:hAnsi="Arial" w:cs="Arial"/>
                      <w:sz w:val="18"/>
                    </w:rPr>
                    <w:t>,1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2F5795">
      <w:pPr>
        <w:pStyle w:val="ac"/>
        <w:tabs>
          <w:tab w:val="left" w:pos="8789"/>
        </w:tabs>
        <w:spacing w:before="360" w:after="24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Pr="002F5795" w:rsidRDefault="00CE5956" w:rsidP="002F579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113"/>
        <w:gridCol w:w="1275"/>
        <w:gridCol w:w="1134"/>
        <w:gridCol w:w="1276"/>
        <w:gridCol w:w="851"/>
        <w:gridCol w:w="1297"/>
      </w:tblGrid>
      <w:tr w:rsidR="00AE4692" w:rsidRPr="00345612" w:rsidTr="00412B50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Default="006F0AB9" w:rsidP="002F5795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AE469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="00AE4692" w:rsidRPr="00321586">
              <w:rPr>
                <w:sz w:val="22"/>
                <w:szCs w:val="22"/>
                <w:vertAlign w:val="superscript"/>
              </w:rPr>
              <w:t>)</w:t>
            </w:r>
            <w:r w:rsidR="00AE46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AE4692" w:rsidRPr="00345612" w:rsidTr="00412B50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5B4EB2" w:rsidRDefault="00AE4692" w:rsidP="002F5795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8E3128" w:rsidRDefault="00AE4692" w:rsidP="002F5795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60903" w:rsidRDefault="00AE4692" w:rsidP="002F5795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B675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10 390,9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80172D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57BF0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9D5006" w:rsidRDefault="00AE4692" w:rsidP="002F5795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57BF0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1 006,9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BF0" w:rsidRPr="00B6757D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2 654,4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1 439,0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E4692" w:rsidRPr="00345612" w:rsidTr="00412B50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4692" w:rsidRPr="005B4EB2" w:rsidRDefault="00AE4692" w:rsidP="002F579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4692" w:rsidRPr="004634DE" w:rsidRDefault="00AE4692" w:rsidP="002F579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692" w:rsidRPr="00925279" w:rsidRDefault="00AE4692" w:rsidP="002F5795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2 214,7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25279" w:rsidRDefault="00AE4692" w:rsidP="002F5795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Pr="002F5795" w:rsidRDefault="00615D6C" w:rsidP="00615D6C">
      <w:pPr>
        <w:pStyle w:val="ac"/>
        <w:tabs>
          <w:tab w:val="left" w:pos="2977"/>
          <w:tab w:val="left" w:pos="3261"/>
        </w:tabs>
        <w:spacing w:before="40" w:after="40" w:line="220" w:lineRule="exact"/>
        <w:ind w:firstLine="0"/>
        <w:rPr>
          <w:sz w:val="12"/>
          <w:szCs w:val="12"/>
        </w:rPr>
      </w:pPr>
      <w:r w:rsidRPr="002F5795">
        <w:rPr>
          <w:sz w:val="12"/>
          <w:szCs w:val="12"/>
        </w:rPr>
        <w:t>___________________</w:t>
      </w:r>
      <w:r w:rsidR="002F5795">
        <w:rPr>
          <w:sz w:val="12"/>
          <w:szCs w:val="12"/>
        </w:rPr>
        <w:t>________________</w:t>
      </w:r>
    </w:p>
    <w:p w:rsidR="00E717ED" w:rsidRPr="008D08ED" w:rsidRDefault="00D417BC" w:rsidP="00B9158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</w:t>
      </w:r>
      <w:r w:rsidR="00E02814">
        <w:rPr>
          <w:lang w:val="ru-RU"/>
        </w:rPr>
        <w:t>7</w:t>
      </w:r>
      <w:r w:rsidRPr="00DB4314">
        <w:rPr>
          <w:lang w:val="ru-RU"/>
        </w:rPr>
        <w:t xml:space="preserve"> декабря 201</w:t>
      </w:r>
      <w:r w:rsidR="00E02814">
        <w:rPr>
          <w:lang w:val="ru-RU"/>
        </w:rPr>
        <w:t>9</w:t>
      </w:r>
      <w:r w:rsidRPr="00DB4314">
        <w:rPr>
          <w:lang w:val="ru-RU"/>
        </w:rPr>
        <w:t xml:space="preserve"> г. № </w:t>
      </w:r>
      <w:r>
        <w:rPr>
          <w:lang w:val="ru-RU"/>
        </w:rPr>
        <w:t>9</w:t>
      </w:r>
      <w:r w:rsidR="00E02814">
        <w:rPr>
          <w:lang w:val="ru-RU"/>
        </w:rPr>
        <w:t>21</w:t>
      </w:r>
      <w:r w:rsidRPr="00DB4314">
        <w:rPr>
          <w:lang w:val="ru-RU"/>
        </w:rPr>
        <w:t>.</w:t>
      </w:r>
    </w:p>
    <w:p w:rsidR="00852532" w:rsidRPr="005C6481" w:rsidRDefault="00317069" w:rsidP="00BC4D3D">
      <w:pPr>
        <w:tabs>
          <w:tab w:val="left" w:pos="4820"/>
          <w:tab w:val="left" w:pos="4962"/>
          <w:tab w:val="left" w:pos="5529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161018">
        <w:rPr>
          <w:rFonts w:ascii="Arial" w:hAnsi="Arial" w:cs="Arial"/>
          <w:b/>
          <w:sz w:val="22"/>
          <w:szCs w:val="22"/>
        </w:rPr>
        <w:t>январе</w:t>
      </w:r>
      <w:r w:rsidR="00B70B5A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</w:t>
      </w:r>
      <w:r w:rsidR="00E02814">
        <w:rPr>
          <w:rFonts w:ascii="Arial" w:hAnsi="Arial" w:cs="Arial"/>
          <w:b/>
          <w:sz w:val="22"/>
          <w:szCs w:val="22"/>
        </w:rPr>
        <w:t>20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90805</wp:posOffset>
            </wp:positionV>
            <wp:extent cx="5895975" cy="1790700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38189B">
        <w:rPr>
          <w:rFonts w:ascii="Arial" w:hAnsi="Arial" w:cs="Arial"/>
          <w:b/>
          <w:sz w:val="26"/>
        </w:rPr>
        <w:t>3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17375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 201</w:t>
      </w:r>
      <w:r w:rsidR="005D4BA1">
        <w:rPr>
          <w:sz w:val="26"/>
        </w:rPr>
        <w:t>9</w:t>
      </w:r>
      <w:r>
        <w:rPr>
          <w:sz w:val="26"/>
        </w:rPr>
        <w:t> г</w:t>
      </w:r>
      <w:r w:rsidR="00436C8E">
        <w:rPr>
          <w:sz w:val="26"/>
        </w:rPr>
        <w:t>оду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B9158B">
        <w:rPr>
          <w:sz w:val="26"/>
        </w:rPr>
        <w:t xml:space="preserve"> </w:t>
      </w:r>
      <w:r w:rsidR="007A0BC1">
        <w:rPr>
          <w:sz w:val="26"/>
        </w:rPr>
        <w:br/>
      </w:r>
      <w:r w:rsidR="0076585F">
        <w:rPr>
          <w:sz w:val="26"/>
        </w:rPr>
        <w:t xml:space="preserve">в сопоставимых ценах </w:t>
      </w:r>
      <w:r w:rsidR="00A2125C">
        <w:rPr>
          <w:sz w:val="26"/>
        </w:rPr>
        <w:t>10</w:t>
      </w:r>
      <w:r w:rsidR="005D4BA1">
        <w:rPr>
          <w:sz w:val="26"/>
        </w:rPr>
        <w:t>1</w:t>
      </w:r>
      <w:r w:rsidR="00A2125C">
        <w:rPr>
          <w:sz w:val="26"/>
        </w:rPr>
        <w:t>,</w:t>
      </w:r>
      <w:r w:rsidR="0099236D">
        <w:rPr>
          <w:sz w:val="26"/>
        </w:rPr>
        <w:t>4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76585F" w:rsidRPr="008A34E8">
        <w:rPr>
          <w:sz w:val="26"/>
        </w:rPr>
        <w:t>201</w:t>
      </w:r>
      <w:r w:rsidR="005D4BA1">
        <w:rPr>
          <w:sz w:val="26"/>
        </w:rPr>
        <w:t>8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0F1410">
        <w:rPr>
          <w:sz w:val="26"/>
        </w:rPr>
        <w:t>ода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07</w:t>
      </w:r>
      <w:r w:rsidR="00A2125C">
        <w:rPr>
          <w:sz w:val="26"/>
        </w:rPr>
        <w:t>,</w:t>
      </w:r>
      <w:r w:rsidR="0099236D">
        <w:rPr>
          <w:sz w:val="26"/>
        </w:rPr>
        <w:t>3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0C514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46747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E87462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E87462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17375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665"/>
        <w:gridCol w:w="1666"/>
        <w:gridCol w:w="1665"/>
        <w:gridCol w:w="1666"/>
      </w:tblGrid>
      <w:tr w:rsidR="008C0E8F" w:rsidRPr="008466CD" w:rsidTr="00802DCB"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8C0E8F" w:rsidRPr="008466CD" w:rsidRDefault="008C0E8F" w:rsidP="00802DCB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E8F" w:rsidRPr="008466CD" w:rsidRDefault="008C0E8F" w:rsidP="00802DC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6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0E8F" w:rsidRDefault="008C0E8F" w:rsidP="003D478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Pr="008466CD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0E8F" w:rsidRDefault="008C0E8F" w:rsidP="00802DC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</w:t>
            </w:r>
            <w:r w:rsidR="00802DCB"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тельности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8C0E8F" w:rsidRPr="008466CD" w:rsidTr="00802DCB">
        <w:tc>
          <w:tcPr>
            <w:tcW w:w="2410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8C0E8F" w:rsidRPr="008466CD" w:rsidRDefault="008C0E8F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E8F" w:rsidRDefault="006F0AB9" w:rsidP="00802DCB">
            <w:pPr>
              <w:tabs>
                <w:tab w:val="left" w:pos="1157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8C0E8F" w:rsidRPr="00914CF0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="008C0E8F" w:rsidRPr="00321586">
              <w:rPr>
                <w:sz w:val="22"/>
                <w:szCs w:val="22"/>
                <w:vertAlign w:val="superscript"/>
              </w:rPr>
              <w:t>)</w:t>
            </w:r>
            <w:r w:rsidR="00802DCB">
              <w:rPr>
                <w:sz w:val="22"/>
                <w:szCs w:val="22"/>
              </w:rPr>
              <w:br/>
            </w:r>
            <w:r w:rsidR="008C0E8F">
              <w:rPr>
                <w:sz w:val="22"/>
                <w:szCs w:val="22"/>
              </w:rPr>
              <w:t>2019 г.</w:t>
            </w:r>
            <w:r w:rsidR="008C0E8F">
              <w:rPr>
                <w:sz w:val="22"/>
                <w:szCs w:val="22"/>
              </w:rPr>
              <w:br/>
              <w:t>в % к</w:t>
            </w:r>
            <w:r w:rsidR="008C0E8F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C0E8F" w:rsidRDefault="008C0E8F" w:rsidP="003D4786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Pr="008466CD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0E8F" w:rsidRDefault="008C0E8F" w:rsidP="00F971E9">
            <w:pPr>
              <w:spacing w:before="100" w:after="10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0E8F" w:rsidRDefault="008C0E8F" w:rsidP="00F971E9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E419B6" w:rsidRPr="008466CD" w:rsidTr="008C0E8F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4F283F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4F283F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FF2B2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C17DDF" w:rsidRDefault="00E419B6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</w:t>
            </w:r>
            <w:r w:rsidR="00FF2B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FE5571" w:rsidRDefault="00E419B6" w:rsidP="00FF2B2D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</w:t>
            </w:r>
            <w:r w:rsidR="00FF2B2D">
              <w:rPr>
                <w:b/>
                <w:sz w:val="22"/>
                <w:szCs w:val="22"/>
              </w:rPr>
              <w:t>5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285BDC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285BDC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2B2D">
              <w:rPr>
                <w:sz w:val="22"/>
                <w:szCs w:val="22"/>
              </w:rPr>
              <w:t>3,2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FF2B2D">
              <w:rPr>
                <w:sz w:val="22"/>
                <w:szCs w:val="22"/>
              </w:rPr>
              <w:t>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F2B2D">
              <w:rPr>
                <w:sz w:val="22"/>
                <w:szCs w:val="22"/>
              </w:rPr>
              <w:t>8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FF2B2D">
              <w:rPr>
                <w:sz w:val="22"/>
                <w:szCs w:val="22"/>
              </w:rPr>
              <w:t>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F2B2D">
              <w:rPr>
                <w:sz w:val="22"/>
                <w:szCs w:val="22"/>
              </w:rPr>
              <w:t>4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2B2D">
              <w:rPr>
                <w:sz w:val="22"/>
                <w:szCs w:val="22"/>
              </w:rPr>
              <w:t>6,9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F2B2D">
              <w:rPr>
                <w:sz w:val="22"/>
                <w:szCs w:val="22"/>
              </w:rPr>
              <w:t>1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FF2B2D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B32BFC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F2B2D">
              <w:rPr>
                <w:sz w:val="22"/>
                <w:szCs w:val="22"/>
              </w:rPr>
              <w:t>7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FF2B2D">
              <w:rPr>
                <w:sz w:val="22"/>
                <w:szCs w:val="22"/>
              </w:rPr>
              <w:t>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FF2B2D">
              <w:rPr>
                <w:sz w:val="22"/>
                <w:szCs w:val="22"/>
              </w:rPr>
              <w:t>4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FF2B2D">
              <w:rPr>
                <w:sz w:val="22"/>
                <w:szCs w:val="22"/>
              </w:rPr>
              <w:t>3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2B2D">
              <w:rPr>
                <w:sz w:val="22"/>
                <w:szCs w:val="22"/>
              </w:rPr>
              <w:t>7,7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FF2B2D">
              <w:rPr>
                <w:sz w:val="22"/>
                <w:szCs w:val="22"/>
              </w:rPr>
              <w:t>7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665" w:type="dxa"/>
            <w:tcBorders>
              <w:top w:val="nil"/>
              <w:bottom w:val="doub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8466CD" w:rsidRDefault="00E419B6" w:rsidP="00FF2B2D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F2B2D">
              <w:rPr>
                <w:sz w:val="22"/>
                <w:szCs w:val="22"/>
              </w:rPr>
              <w:t>3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2B2D">
              <w:rPr>
                <w:sz w:val="22"/>
                <w:szCs w:val="22"/>
              </w:rPr>
              <w:t>5,9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FF2B2D">
              <w:rPr>
                <w:sz w:val="22"/>
                <w:szCs w:val="22"/>
              </w:rPr>
              <w:t>6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3E6E5A" w:rsidRPr="00E75739" w:rsidRDefault="00C47623" w:rsidP="00E75739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</w:t>
      </w:r>
      <w:r w:rsidR="00155B56">
        <w:rPr>
          <w:lang w:val="ru-RU"/>
        </w:rPr>
        <w:t>9</w:t>
      </w:r>
      <w:r w:rsidR="00FF2B2D">
        <w:rPr>
          <w:lang w:val="ru-RU"/>
        </w:rPr>
        <w:t xml:space="preserve"> декабря 201</w:t>
      </w:r>
      <w:r w:rsidR="007A0BC1">
        <w:rPr>
          <w:lang w:val="ru-RU"/>
        </w:rPr>
        <w:t>8</w:t>
      </w:r>
      <w:r w:rsidR="00712217" w:rsidRPr="00712217">
        <w:rPr>
          <w:lang w:val="ru-RU"/>
        </w:rPr>
        <w:t xml:space="preserve"> г. №</w:t>
      </w:r>
      <w:r w:rsidR="00712217" w:rsidRPr="00E366CD">
        <w:t> </w:t>
      </w:r>
      <w:r w:rsidR="00712217" w:rsidRPr="00712217">
        <w:rPr>
          <w:lang w:val="ru-RU"/>
        </w:rPr>
        <w:t>9</w:t>
      </w:r>
      <w:r w:rsidR="00155B56">
        <w:rPr>
          <w:lang w:val="ru-RU"/>
        </w:rPr>
        <w:t>89</w:t>
      </w:r>
      <w:r w:rsidR="00712217" w:rsidRPr="00712217">
        <w:rPr>
          <w:lang w:val="ru-RU"/>
        </w:rPr>
        <w:t>.</w:t>
      </w:r>
    </w:p>
    <w:sectPr w:rsidR="003E6E5A" w:rsidRPr="00E75739" w:rsidSect="00222B8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9FD" w:rsidRDefault="009439FD">
      <w:r>
        <w:separator/>
      </w:r>
    </w:p>
  </w:endnote>
  <w:endnote w:type="continuationSeparator" w:id="0">
    <w:p w:rsidR="009439FD" w:rsidRDefault="00943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22B8C">
      <w:rPr>
        <w:rStyle w:val="a3"/>
        <w:noProof/>
      </w:rPr>
      <w:t>3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9FD" w:rsidRDefault="009439FD">
      <w:r>
        <w:separator/>
      </w:r>
    </w:p>
  </w:footnote>
  <w:footnote w:type="continuationSeparator" w:id="0">
    <w:p w:rsidR="009439FD" w:rsidRDefault="00943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2B8C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3518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98A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786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4CC2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95E77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293B"/>
    <w:rsid w:val="00834397"/>
    <w:rsid w:val="00834CBF"/>
    <w:rsid w:val="00835081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5EAD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39FD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6CB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E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375"/>
    <w:rsid w:val="00CF23CC"/>
    <w:rsid w:val="00CF2684"/>
    <w:rsid w:val="00CF2DFB"/>
    <w:rsid w:val="00CF3484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64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6310508134839E-2"/>
          <c:y val="7.9775092768576347E-2"/>
          <c:w val="0.90520506532927514"/>
          <c:h val="0.66670151144899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54150249540321E-2"/>
                  <c:y val="-4.484595959595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3499474651957E-2"/>
                  <c:y val="-6.13090909090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366041099323045E-3"/>
                  <c:y val="1.46135464410232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2579777293096E-2"/>
                  <c:y val="-4.291157570820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59205298993121E-2"/>
                  <c:y val="-5.9735300970171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06190364702E-2"/>
                  <c:y val="-6.9175943524300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615799785590179E-2"/>
                  <c:y val="-4.8825233052764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81700083228069E-2"/>
                  <c:y val="-5.2070230856872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5946292547466E-2"/>
                  <c:y val="-4.3660674184746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2983048480442314E-3"/>
                  <c:y val="2.006652185718155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2594571097087033E-2"/>
                  <c:y val="-5.648826719169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7585917957438419E-3"/>
                  <c:y val="5.2685746012517666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533836156596345E-2"/>
                  <c:y val="5.054304831614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4697751982880589E-2"/>
                  <c:y val="-3.370893706779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85731242423762E-2"/>
                  <c:y val="-4.5438417420045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20012E-2"/>
                  <c:y val="4.20023270287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11">
                  <c:v>101.2</c:v>
                </c:pt>
                <c:pt idx="12">
                  <c:v>98.1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Sheet1!$B$4:$N$4</c:f>
              <c:numCache>
                <c:formatCode>General</c:formatCode>
                <c:ptCount val="1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432320"/>
        <c:axId val="141433856"/>
      </c:lineChart>
      <c:catAx>
        <c:axId val="141432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433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1433856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432320"/>
        <c:crosses val="autoZero"/>
        <c:crossBetween val="midCat"/>
        <c:majorUnit val="2"/>
        <c:minorUnit val="2"/>
      </c:valAx>
      <c:spPr>
        <a:solidFill>
          <a:schemeClr val="bg1">
            <a:lumMod val="85000"/>
          </a:schemeClr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50971904"/>
        <c:axId val="150973440"/>
      </c:barChart>
      <c:dateAx>
        <c:axId val="150971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50973440"/>
        <c:crosses val="autoZero"/>
        <c:auto val="0"/>
        <c:lblOffset val="100"/>
        <c:baseTimeUnit val="days"/>
        <c:majorUnit val="3"/>
        <c:minorUnit val="3"/>
      </c:dateAx>
      <c:valAx>
        <c:axId val="150973440"/>
        <c:scaling>
          <c:orientation val="minMax"/>
          <c:max val="0.8"/>
          <c:min val="-1.6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50971904"/>
        <c:crosses val="autoZero"/>
        <c:crossBetween val="between"/>
        <c:majorUnit val="0.4"/>
        <c:minorUnit val="0.4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4743425336673098"/>
          <c:h val="0.8765262147109659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62572290165856925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Могилевская</c:v>
                </c:pt>
                <c:pt idx="3">
                  <c:v>Брестская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Минская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0.15</c:v>
                </c:pt>
                <c:pt idx="1">
                  <c:v>-0.04</c:v>
                </c:pt>
                <c:pt idx="2">
                  <c:v>-0.09</c:v>
                </c:pt>
                <c:pt idx="3">
                  <c:v>-0.09</c:v>
                </c:pt>
                <c:pt idx="4">
                  <c:v>-0.16</c:v>
                </c:pt>
                <c:pt idx="5">
                  <c:v>-0.45</c:v>
                </c:pt>
                <c:pt idx="6">
                  <c:v>-1.21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41633408"/>
        <c:axId val="141644544"/>
      </c:barChart>
      <c:catAx>
        <c:axId val="1416334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644544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41644544"/>
        <c:scaling>
          <c:orientation val="minMax"/>
          <c:max val="0.5"/>
          <c:min val="-1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633408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91738274983667E-2"/>
          <c:y val="3.9704239304717261E-2"/>
          <c:w val="0.87273781498962111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227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448106267011E-2"/>
                  <c:y val="-4.3029090719709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99860625362E-2"/>
                  <c:y val="4.15350658126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5833479872087E-2"/>
                  <c:y val="4.468577388647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76589554204E-2"/>
                  <c:y val="4.8011673366004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53091316439E-2"/>
                  <c:y val="4.277052238805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51130236627398E-2"/>
                  <c:y val="-3.2667437549327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025855949147E-2"/>
                  <c:y val="3.5906466682336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09127347453661E-2"/>
                  <c:y val="1.7025861277829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22979104356139E-2"/>
                  <c:y val="-3.32698272855753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016249519678529E-2"/>
                  <c:y val="3.3737807027852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619239455533176E-2"/>
                  <c:y val="-3.37558504487638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0779438652642644E-3"/>
                  <c:y val="2.92175540994438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6762766621922246E-2"/>
                  <c:y val="-4.5140967844187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741073063541478E-2"/>
                  <c:y val="-3.931758530183727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42967303505666E-3"/>
                  <c:y val="3.0229979993759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101,3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981163437044598E-3"/>
                  <c:y val="-4.1940788869922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1630672786090269"/>
                  <c:y val="-4.6581560700434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0.0">
                  <c:v>105.4</c:v>
                </c:pt>
                <c:pt idx="1">
                  <c:v>106.2</c:v>
                </c:pt>
                <c:pt idx="2">
                  <c:v>105.6</c:v>
                </c:pt>
                <c:pt idx="3" formatCode="0.0">
                  <c:v>105.2</c:v>
                </c:pt>
                <c:pt idx="4">
                  <c:v>105.2</c:v>
                </c:pt>
                <c:pt idx="5" formatCode="0.0">
                  <c:v>105.1</c:v>
                </c:pt>
                <c:pt idx="6" formatCode="0.0">
                  <c:v>105</c:v>
                </c:pt>
                <c:pt idx="7" formatCode="0.0">
                  <c:v>104.2</c:v>
                </c:pt>
                <c:pt idx="8">
                  <c:v>104.1</c:v>
                </c:pt>
                <c:pt idx="9" formatCode="0.0">
                  <c:v>104</c:v>
                </c:pt>
                <c:pt idx="10">
                  <c:v>103.7</c:v>
                </c:pt>
                <c:pt idx="11" formatCode="0.0">
                  <c:v>103.5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101.5</c:v>
                </c:pt>
                <c:pt idx="15" formatCode="0.0">
                  <c:v>101.7</c:v>
                </c:pt>
                <c:pt idx="16" formatCode="0.0">
                  <c:v>101.2</c:v>
                </c:pt>
                <c:pt idx="17" formatCode="0.0">
                  <c:v>101.1</c:v>
                </c:pt>
                <c:pt idx="18" formatCode="0.0">
                  <c:v>101.5</c:v>
                </c:pt>
                <c:pt idx="19" formatCode="0.0">
                  <c:v>101.3</c:v>
                </c:pt>
                <c:pt idx="20" formatCode="0.0">
                  <c:v>101.3</c:v>
                </c:pt>
                <c:pt idx="21" formatCode="0.0">
                  <c:v>101.3</c:v>
                </c:pt>
                <c:pt idx="22" formatCode="0.0">
                  <c:v>101.3</c:v>
                </c:pt>
                <c:pt idx="23" formatCode="0.0">
                  <c:v>101.4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166066451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79352363832925E-2"/>
                  <c:y val="4.0268025032318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10279856457151E-2"/>
                  <c:y val="-4.1504950640498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46588903434217E-2"/>
                  <c:y val="4.037967152426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97571364372E-2"/>
                  <c:y val="4.0555955458925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75082550165099E-2"/>
                  <c:y val="4.417601950875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43920595533496E-2"/>
                  <c:y val="4.424726759901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406213758163888E-2"/>
                  <c:y val="-4.59023915716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67786874035279E-2"/>
                  <c:y val="-4.0219179692090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4929759090291E-2"/>
                  <c:y val="3.8729947702432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94974697641704E-2"/>
                  <c:y val="-3.720362263485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45656916954863E-2"/>
                  <c:y val="3.63020037607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75154191334025E-2"/>
                  <c:y val="-3.9291852744153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23699363160999E-2"/>
                  <c:y val="-4.3430794926857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17196485672E-2"/>
                  <c:y val="4.0507844635092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578363751043E-2"/>
                  <c:y val="-3.49015289172769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5585871533500173E-3"/>
                  <c:y val="-4.292237945781252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857278149509663E-2"/>
                  <c:y val="4.578455665069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  <c:pt idx="17">
                  <c:v>107.6</c:v>
                </c:pt>
                <c:pt idx="18">
                  <c:v>107.8</c:v>
                </c:pt>
                <c:pt idx="19">
                  <c:v>107.6</c:v>
                </c:pt>
                <c:pt idx="20">
                  <c:v>107.8</c:v>
                </c:pt>
                <c:pt idx="21">
                  <c:v>107.6</c:v>
                </c:pt>
                <c:pt idx="22">
                  <c:v>107.5</c:v>
                </c:pt>
                <c:pt idx="23">
                  <c:v>107.3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0802432"/>
        <c:axId val="150803584"/>
      </c:lineChart>
      <c:catAx>
        <c:axId val="150802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8035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0803584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802432"/>
        <c:crosses val="autoZero"/>
        <c:crossBetween val="midCat"/>
        <c:majorUnit val="2"/>
        <c:minorUnit val="2"/>
      </c:valAx>
      <c:spPr>
        <a:solidFill>
          <a:schemeClr val="bg1">
            <a:lumMod val="85000"/>
          </a:scheme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40779438649E-2"/>
          <c:y val="0.86233760989666497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0.21742</cdr:x>
      <cdr:y>0.83284</cdr:y>
    </cdr:from>
    <cdr:to>
      <cdr:x>1</cdr:x>
      <cdr:y>0.92719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23322" y="1650022"/>
          <a:ext cx="4763153" cy="186917"/>
          <a:chOff x="3492360" y="2201863"/>
          <a:chExt cx="2536122" cy="9981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0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29441" y="2201863"/>
            <a:ext cx="299041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0.11311</cdr:x>
      <cdr:y>0.80228</cdr:y>
    </cdr:from>
    <cdr:to>
      <cdr:x>0.85768</cdr:x>
      <cdr:y>0.8862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31537" y="2185539"/>
          <a:ext cx="4815507" cy="228610"/>
          <a:chOff x="2945176" y="1799442"/>
          <a:chExt cx="3014571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5176" y="1802142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76769" y="1799442"/>
            <a:ext cx="482978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46E2-1823-42EA-AB42-218245C8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51</cp:revision>
  <cp:lastPrinted>2020-02-18T12:40:00Z</cp:lastPrinted>
  <dcterms:created xsi:type="dcterms:W3CDTF">2019-12-17T16:52:00Z</dcterms:created>
  <dcterms:modified xsi:type="dcterms:W3CDTF">2020-02-24T07:40:00Z</dcterms:modified>
</cp:coreProperties>
</file>