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35" w:rsidRDefault="00611F35" w:rsidP="00611F35">
      <w:pPr>
        <w:pStyle w:val="a8"/>
        <w:spacing w:before="0" w:line="280" w:lineRule="exact"/>
      </w:pPr>
      <w:r>
        <w:rPr>
          <w:sz w:val="26"/>
          <w:szCs w:val="26"/>
        </w:rPr>
        <w:t xml:space="preserve">II.6. </w:t>
      </w:r>
      <w:r>
        <w:t>ПОЧТОВАЯ И КУРЬЕРСКАЯ ДЕЯТЕЛЬНОСТЬ.</w:t>
      </w:r>
    </w:p>
    <w:p w:rsidR="00611F35" w:rsidRPr="006D4291" w:rsidRDefault="00611F35" w:rsidP="00611F35">
      <w:pPr>
        <w:pStyle w:val="a8"/>
        <w:spacing w:before="0" w:line="280" w:lineRule="exact"/>
      </w:pPr>
      <w:r>
        <w:t>ДЕЯТЕЛЬНОСТЬ В ОБЛАСТИ ТЕЛЕКОММУНИКАЦИЙ</w:t>
      </w:r>
      <w:r w:rsidR="00F97E2F" w:rsidRPr="00F97E2F">
        <w:rPr>
          <w:rStyle w:val="af"/>
          <w:sz w:val="26"/>
          <w:szCs w:val="26"/>
        </w:rPr>
        <w:footnoteReference w:customMarkFollows="1" w:id="2"/>
        <w:t>1)</w:t>
      </w:r>
    </w:p>
    <w:p w:rsidR="00611F35" w:rsidRDefault="00611F35" w:rsidP="00F34350">
      <w:pPr>
        <w:spacing w:before="80" w:after="8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6.1.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611F35" w:rsidRDefault="00611F35" w:rsidP="00F34350">
      <w:pPr>
        <w:pStyle w:val="2"/>
        <w:spacing w:before="0" w:after="12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2" w:type="pct"/>
        <w:tblInd w:w="28" w:type="dxa"/>
        <w:tblCellMar>
          <w:left w:w="28" w:type="dxa"/>
          <w:right w:w="28" w:type="dxa"/>
        </w:tblCellMar>
        <w:tblLook w:val="00A0"/>
      </w:tblPr>
      <w:tblGrid>
        <w:gridCol w:w="4657"/>
        <w:gridCol w:w="1289"/>
        <w:gridCol w:w="1289"/>
        <w:gridCol w:w="1841"/>
      </w:tblGrid>
      <w:tr w:rsidR="005C557E" w:rsidTr="00611F35">
        <w:trPr>
          <w:cantSplit/>
          <w:trHeight w:val="680"/>
          <w:tblHeader/>
        </w:trPr>
        <w:tc>
          <w:tcPr>
            <w:tcW w:w="2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7E" w:rsidRDefault="005C557E" w:rsidP="005C557E">
            <w:pPr>
              <w:spacing w:before="40" w:after="40" w:line="200" w:lineRule="exact"/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57E" w:rsidRPr="005C557E" w:rsidRDefault="005C557E" w:rsidP="00E27D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ябрь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557E" w:rsidRPr="005C557E" w:rsidRDefault="005C557E" w:rsidP="00E27D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ябрь</w:t>
            </w:r>
            <w:r w:rsidRPr="005C557E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57E" w:rsidRPr="005C557E" w:rsidRDefault="005C557E" w:rsidP="00E27D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ябрь</w:t>
            </w:r>
            <w:r w:rsidRPr="005C557E">
              <w:rPr>
                <w:sz w:val="22"/>
                <w:szCs w:val="22"/>
              </w:rPr>
              <w:br/>
              <w:t>2016 г. в % к</w:t>
            </w:r>
            <w:r w:rsidRPr="005C557E">
              <w:rPr>
                <w:sz w:val="22"/>
                <w:szCs w:val="22"/>
              </w:rPr>
              <w:br/>
              <w:t>январю-</w:t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ябрю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</w:tr>
      <w:tr w:rsidR="00981E0A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349,3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395,1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113,1  </w:t>
            </w:r>
          </w:p>
        </w:tc>
      </w:tr>
      <w:tr w:rsidR="00981E0A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append"/>
              <w:spacing w:before="40" w:after="40" w:line="200" w:lineRule="exact"/>
              <w:ind w:left="57" w:right="340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298,3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331,5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</w:t>
            </w:r>
          </w:p>
        </w:tc>
      </w:tr>
      <w:tr w:rsidR="00981E0A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16,2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159,4  </w:t>
            </w:r>
          </w:p>
        </w:tc>
      </w:tr>
      <w:tr w:rsidR="00981E0A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14,0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12,6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  </w:t>
            </w:r>
          </w:p>
        </w:tc>
      </w:tr>
      <w:tr w:rsidR="00981E0A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78,5  </w:t>
            </w:r>
          </w:p>
        </w:tc>
      </w:tr>
      <w:tr w:rsidR="00981E0A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81E0A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2"/>
              <w:spacing w:before="40" w:after="40" w:line="200" w:lineRule="exact"/>
              <w:ind w:left="57" w:right="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4,6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6,5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C557E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5C557E" w:rsidP="00F34350">
            <w:pPr>
              <w:pStyle w:val="2"/>
              <w:spacing w:before="40" w:after="40" w:line="200" w:lineRule="exact"/>
              <w:ind w:left="57" w:right="22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611F35" w:rsidRDefault="00611F35" w:rsidP="00F34350">
      <w:pPr>
        <w:pStyle w:val="2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27" w:type="dxa"/>
        <w:jc w:val="center"/>
        <w:tblLayout w:type="fixed"/>
        <w:tblLook w:val="00A0"/>
      </w:tblPr>
      <w:tblGrid>
        <w:gridCol w:w="4591"/>
        <w:gridCol w:w="1560"/>
        <w:gridCol w:w="1488"/>
        <w:gridCol w:w="1488"/>
      </w:tblGrid>
      <w:tr w:rsidR="00611F35" w:rsidTr="005B3470">
        <w:trPr>
          <w:cantSplit/>
          <w:trHeight w:val="178"/>
          <w:tblHeader/>
          <w:jc w:val="center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F3435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E27DF4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27DF4">
              <w:rPr>
                <w:sz w:val="22"/>
                <w:szCs w:val="22"/>
              </w:rPr>
              <w:t>декаб</w:t>
            </w:r>
            <w:r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11F35" w:rsidTr="00D61D0A">
        <w:trPr>
          <w:cantSplit/>
          <w:trHeight w:val="462"/>
          <w:tblHeader/>
          <w:jc w:val="center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E27DF4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27DF4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D61D0A" w:rsidTr="00D61D0A">
        <w:trPr>
          <w:trHeight w:val="56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69,6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53,4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102,0  </w:t>
            </w:r>
          </w:p>
        </w:tc>
      </w:tr>
      <w:tr w:rsidR="00D61D0A" w:rsidTr="00D61D0A">
        <w:trPr>
          <w:cantSplit/>
          <w:trHeight w:val="232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61D0A" w:rsidTr="00D61D0A">
        <w:trPr>
          <w:cantSplit/>
          <w:trHeight w:val="232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0B6ADD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1F35" w:rsidTr="00D61D0A">
        <w:trPr>
          <w:trHeight w:val="138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F35" w:rsidRDefault="00611F35" w:rsidP="00E27DF4">
            <w:pPr>
              <w:spacing w:before="40" w:after="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Справочно: на 1 </w:t>
            </w:r>
            <w:r w:rsidR="00E27DF4">
              <w:rPr>
                <w:bCs/>
                <w:i/>
                <w:iCs/>
                <w:sz w:val="22"/>
                <w:szCs w:val="22"/>
              </w:rPr>
              <w:t>дека</w:t>
            </w:r>
            <w:r>
              <w:rPr>
                <w:bCs/>
                <w:i/>
                <w:iCs/>
                <w:sz w:val="22"/>
                <w:szCs w:val="22"/>
              </w:rPr>
              <w:t>бря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0B6ADD" w:rsidP="00D61D0A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0B6ADD" w:rsidP="00D61D0A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0B6ADD" w:rsidP="00D61D0A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61D0A" w:rsidTr="00D61D0A">
        <w:trPr>
          <w:trHeight w:val="138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69,6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53,4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102,0  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61D0A" w:rsidTr="00D61D0A">
        <w:trPr>
          <w:trHeight w:val="87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55,5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268,8  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1D0A" w:rsidTr="00D61D0A">
        <w:trPr>
          <w:trHeight w:val="81"/>
          <w:jc w:val="center"/>
        </w:trPr>
        <w:tc>
          <w:tcPr>
            <w:tcW w:w="459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1D0A" w:rsidTr="00D61D0A">
        <w:trPr>
          <w:trHeight w:val="81"/>
          <w:jc w:val="center"/>
        </w:trPr>
        <w:tc>
          <w:tcPr>
            <w:tcW w:w="459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61D0A" w:rsidTr="00D61D0A">
        <w:trPr>
          <w:trHeight w:val="81"/>
          <w:jc w:val="center"/>
        </w:trPr>
        <w:tc>
          <w:tcPr>
            <w:tcW w:w="459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191,5 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195,3  </w:t>
            </w:r>
          </w:p>
        </w:tc>
      </w:tr>
      <w:tr w:rsidR="00D61D0A" w:rsidTr="00D61D0A">
        <w:trPr>
          <w:trHeight w:val="81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D0A" w:rsidRDefault="00D61D0A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1D0A" w:rsidTr="00D61D0A">
        <w:trPr>
          <w:trHeight w:val="81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F34350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Дебиторская задолженность, млн.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18,0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95,4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88,1  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F34350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F34350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F34350">
            <w:pPr>
              <w:pStyle w:val="append"/>
              <w:spacing w:before="40" w:after="40" w:line="200" w:lineRule="exact"/>
              <w:ind w:right="-108"/>
            </w:pPr>
            <w:r>
              <w:t xml:space="preserve">Внешняя дебиторская задолженность, </w:t>
            </w:r>
            <w:r w:rsidRPr="00BB43D3">
              <w:br/>
            </w:r>
            <w:r>
              <w:t>млн. руб.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235,5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1D0A" w:rsidRDefault="000B6ADD" w:rsidP="000B6AD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8р.</w:t>
            </w:r>
            <w:r w:rsidR="00D61D0A">
              <w:rPr>
                <w:sz w:val="22"/>
                <w:szCs w:val="22"/>
              </w:rPr>
              <w:t xml:space="preserve">  </w:t>
            </w:r>
          </w:p>
        </w:tc>
      </w:tr>
      <w:tr w:rsidR="00D61D0A" w:rsidTr="00D61D0A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1D0A" w:rsidRDefault="00D61D0A" w:rsidP="00D61D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11F35" w:rsidRDefault="00611F35" w:rsidP="00F34350">
      <w:pPr>
        <w:spacing w:before="360" w:after="6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6.2. </w:t>
      </w:r>
      <w:r>
        <w:rPr>
          <w:rFonts w:ascii="Arial" w:hAnsi="Arial" w:cs="Arial"/>
          <w:b/>
          <w:sz w:val="26"/>
        </w:rPr>
        <w:t>Деятельность в области телекоммуникаций</w:t>
      </w:r>
    </w:p>
    <w:p w:rsidR="00611F35" w:rsidRDefault="00611F35" w:rsidP="00F34350">
      <w:pPr>
        <w:pStyle w:val="2"/>
        <w:spacing w:before="6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36" w:type="pct"/>
        <w:jc w:val="center"/>
        <w:tblInd w:w="-28" w:type="dxa"/>
        <w:tblCellMar>
          <w:left w:w="28" w:type="dxa"/>
          <w:right w:w="28" w:type="dxa"/>
        </w:tblCellMar>
        <w:tblLook w:val="04A0"/>
      </w:tblPr>
      <w:tblGrid>
        <w:gridCol w:w="4675"/>
        <w:gridCol w:w="1263"/>
        <w:gridCol w:w="1263"/>
        <w:gridCol w:w="1809"/>
      </w:tblGrid>
      <w:tr w:rsidR="00611F35" w:rsidTr="00611F35">
        <w:trPr>
          <w:cantSplit/>
          <w:trHeight w:val="638"/>
          <w:tblHeader/>
          <w:jc w:val="center"/>
        </w:trPr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F34350">
            <w:pPr>
              <w:spacing w:before="40" w:after="40" w:line="200" w:lineRule="exact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Pr="005C557E" w:rsidRDefault="00611F35" w:rsidP="00E27D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ябрь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11F35" w:rsidRPr="005C557E" w:rsidRDefault="00611F35" w:rsidP="00E27D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ябрь</w:t>
            </w:r>
            <w:r w:rsidRPr="005C557E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Pr="005C557E" w:rsidRDefault="00611F35" w:rsidP="00E27D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ябрь</w:t>
            </w:r>
            <w:r w:rsidRPr="005C557E">
              <w:rPr>
                <w:sz w:val="22"/>
                <w:szCs w:val="22"/>
              </w:rPr>
              <w:br/>
              <w:t>2016 г. в % к</w:t>
            </w:r>
            <w:r w:rsidRPr="005C557E">
              <w:rPr>
                <w:sz w:val="22"/>
                <w:szCs w:val="22"/>
              </w:rPr>
              <w:br/>
              <w:t>январю-</w:t>
            </w:r>
            <w:r w:rsidR="00E27DF4">
              <w:rPr>
                <w:sz w:val="22"/>
                <w:szCs w:val="22"/>
              </w:rPr>
              <w:t>но</w:t>
            </w:r>
            <w:r w:rsidRPr="005C557E">
              <w:rPr>
                <w:sz w:val="22"/>
                <w:szCs w:val="22"/>
              </w:rPr>
              <w:t>ябрю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Выручка от реализации продукции, </w:t>
            </w:r>
            <w:r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2 253,4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2 816,2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125,0  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1 405,1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1 744,3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124,1  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514,6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611,4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257,1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532,9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207,3  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145,0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421,1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290,3  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36,6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35,1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81E0A" w:rsidTr="00683F49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22,8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21,7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81E0A" w:rsidTr="00683F49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</w:t>
            </w:r>
          </w:p>
        </w:tc>
      </w:tr>
      <w:tr w:rsidR="00981E0A" w:rsidTr="00683F49">
        <w:trPr>
          <w:cantSplit/>
          <w:trHeight w:val="284"/>
          <w:jc w:val="center"/>
        </w:trPr>
        <w:tc>
          <w:tcPr>
            <w:tcW w:w="25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10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append"/>
              <w:spacing w:before="40" w:after="40" w:line="200" w:lineRule="exact"/>
              <w:ind w:left="57"/>
            </w:pPr>
            <w:r>
              <w:t xml:space="preserve">Сумма чистого убытка убыточных </w:t>
            </w:r>
            <w:r>
              <w:br/>
              <w:t>организаций,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351,8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28,6  </w:t>
            </w:r>
          </w:p>
        </w:tc>
      </w:tr>
      <w:tr w:rsidR="00981E0A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F3435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351,8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33,6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81E0A" w:rsidRDefault="00981E0A" w:rsidP="00981E0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</w:t>
            </w:r>
          </w:p>
        </w:tc>
      </w:tr>
    </w:tbl>
    <w:p w:rsidR="00611F35" w:rsidRDefault="00611F35" w:rsidP="00F34350">
      <w:pPr>
        <w:pStyle w:val="2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 w:rsidR="00F34350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в области телекоммуникаций</w:t>
      </w:r>
    </w:p>
    <w:tbl>
      <w:tblPr>
        <w:tblW w:w="9030" w:type="dxa"/>
        <w:jc w:val="center"/>
        <w:tblInd w:w="1237" w:type="dxa"/>
        <w:tblLayout w:type="fixed"/>
        <w:tblLook w:val="04A0"/>
      </w:tblPr>
      <w:tblGrid>
        <w:gridCol w:w="4767"/>
        <w:gridCol w:w="1465"/>
        <w:gridCol w:w="1399"/>
        <w:gridCol w:w="1399"/>
      </w:tblGrid>
      <w:tr w:rsidR="00611F35" w:rsidTr="00F97E2F">
        <w:trPr>
          <w:cantSplit/>
          <w:trHeight w:val="178"/>
          <w:tblHeader/>
          <w:jc w:val="center"/>
        </w:trPr>
        <w:tc>
          <w:tcPr>
            <w:tcW w:w="4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F3435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E27DF4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27DF4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11F35" w:rsidTr="00F97E2F">
        <w:trPr>
          <w:cantSplit/>
          <w:trHeight w:val="201"/>
          <w:tblHeader/>
          <w:jc w:val="center"/>
        </w:trPr>
        <w:tc>
          <w:tcPr>
            <w:tcW w:w="4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E27DF4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27DF4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C941A6" w:rsidTr="00F97E2F">
        <w:trPr>
          <w:trHeight w:val="138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F34350">
            <w:pPr>
              <w:spacing w:before="4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1 807,3 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111,2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103,8  </w:t>
            </w:r>
          </w:p>
        </w:tc>
      </w:tr>
      <w:tr w:rsidR="00C941A6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F34350">
            <w:pPr>
              <w:spacing w:before="40" w:after="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91,9  </w:t>
            </w:r>
          </w:p>
        </w:tc>
      </w:tr>
      <w:tr w:rsidR="00C941A6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F34350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1A6" w:rsidRDefault="00C941A6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1F35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0B6ADD" w:rsidP="00DD7BEA">
            <w:pPr>
              <w:tabs>
                <w:tab w:val="left" w:pos="732"/>
                <w:tab w:val="left" w:pos="78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0B6ADD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0B6ADD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11F35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611F35" w:rsidP="00E27DF4">
            <w:pPr>
              <w:spacing w:before="40" w:after="40" w:line="200" w:lineRule="exact"/>
              <w:ind w:left="351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Справочно: на 1 </w:t>
            </w:r>
            <w:r w:rsidR="00E27DF4">
              <w:rPr>
                <w:bCs/>
                <w:i/>
                <w:iCs/>
                <w:sz w:val="22"/>
                <w:szCs w:val="22"/>
              </w:rPr>
              <w:t>дека</w:t>
            </w:r>
            <w:r>
              <w:rPr>
                <w:bCs/>
                <w:i/>
                <w:iCs/>
                <w:sz w:val="22"/>
                <w:szCs w:val="22"/>
              </w:rPr>
              <w:t>бря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0B6ADD" w:rsidP="00DD7BEA">
            <w:pPr>
              <w:tabs>
                <w:tab w:val="left" w:pos="732"/>
                <w:tab w:val="left" w:pos="788"/>
              </w:tabs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71,9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0B6ADD" w:rsidP="00DD7BEA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0B6ADD" w:rsidP="00DD7BEA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7BEA" w:rsidTr="00F34350">
        <w:trPr>
          <w:cantSplit/>
          <w:trHeight w:val="58"/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424,0 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114,9 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115,3  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156,3  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115,5  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91,9  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720" w:right="17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7BEA" w:rsidRDefault="00DD7BEA" w:rsidP="00DD7BE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113" w:right="170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11F35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left="113" w:right="170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D7BEA" w:rsidTr="00683F49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683F49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683F49">
        <w:trPr>
          <w:cantSplit/>
          <w:trHeight w:val="232"/>
          <w:jc w:val="center"/>
        </w:trPr>
        <w:tc>
          <w:tcPr>
            <w:tcW w:w="476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128,9  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123,7  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138,2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93,0  </w:t>
            </w:r>
          </w:p>
        </w:tc>
      </w:tr>
      <w:tr w:rsidR="00DD7BEA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 xml:space="preserve">сумме внешней кредиторской </w:t>
            </w:r>
            <w:r w:rsidRPr="005C55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34350">
        <w:trPr>
          <w:cantSplit/>
          <w:trHeight w:val="232"/>
          <w:jc w:val="center"/>
        </w:trPr>
        <w:tc>
          <w:tcPr>
            <w:tcW w:w="47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1 383,3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110,1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100,8  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D7BEA" w:rsidTr="00F97E2F">
        <w:trPr>
          <w:trHeight w:val="81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533,4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120,0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97,6  </w:t>
            </w:r>
          </w:p>
        </w:tc>
      </w:tr>
      <w:tr w:rsidR="00DD7BEA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37,3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</w:t>
            </w:r>
          </w:p>
        </w:tc>
      </w:tr>
      <w:tr w:rsidR="00DD7BEA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pStyle w:val="append"/>
              <w:spacing w:before="40" w:after="40" w:line="200" w:lineRule="exact"/>
              <w:ind w:right="170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55,3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117,9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</w:t>
            </w:r>
          </w:p>
        </w:tc>
      </w:tr>
      <w:tr w:rsidR="00DD7BEA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3,2р.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68,1  </w:t>
            </w:r>
          </w:p>
        </w:tc>
      </w:tr>
      <w:tr w:rsidR="00DD7BEA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6,8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7BEA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4,6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D7BEA" w:rsidRDefault="00DD7BEA" w:rsidP="00DD7B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11F35" w:rsidRDefault="00611F35" w:rsidP="00611F35">
      <w:pPr>
        <w:tabs>
          <w:tab w:val="left" w:pos="1815"/>
        </w:tabs>
        <w:spacing w:line="20" w:lineRule="exact"/>
      </w:pPr>
    </w:p>
    <w:sectPr w:rsidR="00611F35" w:rsidSect="007A7AAD">
      <w:headerReference w:type="default" r:id="rId7"/>
      <w:footerReference w:type="default" r:id="rId8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F41" w:rsidRDefault="00282F41">
      <w:r>
        <w:separator/>
      </w:r>
    </w:p>
  </w:endnote>
  <w:endnote w:type="continuationSeparator" w:id="1">
    <w:p w:rsidR="00282F41" w:rsidRDefault="00282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B8" w:rsidRDefault="00356C11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2F0AB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A7AAD">
      <w:rPr>
        <w:rStyle w:val="a3"/>
        <w:noProof/>
      </w:rPr>
      <w:t>1</w:t>
    </w:r>
    <w:r>
      <w:rPr>
        <w:rStyle w:val="a3"/>
      </w:rPr>
      <w:fldChar w:fldCharType="end"/>
    </w:r>
  </w:p>
  <w:p w:rsidR="002F0AB8" w:rsidRDefault="002F0AB8" w:rsidP="007E658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F41" w:rsidRDefault="00282F41">
      <w:r>
        <w:separator/>
      </w:r>
    </w:p>
  </w:footnote>
  <w:footnote w:type="continuationSeparator" w:id="1">
    <w:p w:rsidR="00282F41" w:rsidRDefault="00282F41">
      <w:r>
        <w:continuationSeparator/>
      </w:r>
    </w:p>
  </w:footnote>
  <w:footnote w:id="2">
    <w:p w:rsidR="00F97E2F" w:rsidRPr="005D0D9F" w:rsidRDefault="00F97E2F" w:rsidP="00F34350">
      <w:pPr>
        <w:pStyle w:val="2"/>
        <w:spacing w:before="0" w:after="6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F97E2F">
        <w:rPr>
          <w:rStyle w:val="af"/>
          <w:sz w:val="20"/>
          <w:szCs w:val="20"/>
        </w:rPr>
        <w:t>1)</w:t>
      </w:r>
      <w:r w:rsidRPr="005D0D9F">
        <w:rPr>
          <w:sz w:val="20"/>
        </w:rPr>
        <w:t xml:space="preserve"> Стоимостные показатели приведены в масштабе цен, действующих с 1 июля 2016 г. </w:t>
      </w:r>
      <w:r>
        <w:rPr>
          <w:sz w:val="20"/>
        </w:rPr>
        <w:br/>
      </w:r>
      <w:r w:rsidRPr="005D0D9F">
        <w:rPr>
          <w:sz w:val="20"/>
        </w:rPr>
        <w:t>(с учетом деноминации).</w:t>
      </w:r>
    </w:p>
    <w:p w:rsidR="00F97E2F" w:rsidRDefault="00F97E2F" w:rsidP="00F97E2F">
      <w:pPr>
        <w:pStyle w:val="ad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B8" w:rsidRDefault="002F0AB8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ПОЧТОВАЯ И КУРЬЕРСКАЯ ДЕЯТЕЛЬНОСТЬ. ДЕЯТЕЛЬНОСТЬ В ОБЛАСТИ ТЕЛЕКОММУНИКАЦИЙ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F"/>
    <w:rsid w:val="00012620"/>
    <w:rsid w:val="00031462"/>
    <w:rsid w:val="00031B06"/>
    <w:rsid w:val="00061359"/>
    <w:rsid w:val="000670C4"/>
    <w:rsid w:val="00075E16"/>
    <w:rsid w:val="0009534F"/>
    <w:rsid w:val="000B5E4F"/>
    <w:rsid w:val="000B6ADD"/>
    <w:rsid w:val="000C0E16"/>
    <w:rsid w:val="000E27AA"/>
    <w:rsid w:val="001068CC"/>
    <w:rsid w:val="00113AF1"/>
    <w:rsid w:val="00115DB6"/>
    <w:rsid w:val="00120E60"/>
    <w:rsid w:val="00127A9E"/>
    <w:rsid w:val="00132B8F"/>
    <w:rsid w:val="00137A38"/>
    <w:rsid w:val="0015187A"/>
    <w:rsid w:val="001616D7"/>
    <w:rsid w:val="001716A1"/>
    <w:rsid w:val="00175FE8"/>
    <w:rsid w:val="00186AED"/>
    <w:rsid w:val="00187666"/>
    <w:rsid w:val="00187D9B"/>
    <w:rsid w:val="00193F67"/>
    <w:rsid w:val="001A74BE"/>
    <w:rsid w:val="001F5817"/>
    <w:rsid w:val="001F79E3"/>
    <w:rsid w:val="002124FA"/>
    <w:rsid w:val="002148C8"/>
    <w:rsid w:val="002234E1"/>
    <w:rsid w:val="0025277A"/>
    <w:rsid w:val="00254A6D"/>
    <w:rsid w:val="00262FB3"/>
    <w:rsid w:val="00282F41"/>
    <w:rsid w:val="00284A9E"/>
    <w:rsid w:val="00287D63"/>
    <w:rsid w:val="002A4674"/>
    <w:rsid w:val="002A6234"/>
    <w:rsid w:val="002B19AF"/>
    <w:rsid w:val="002B1A66"/>
    <w:rsid w:val="002C016D"/>
    <w:rsid w:val="002C2E87"/>
    <w:rsid w:val="002C6AC7"/>
    <w:rsid w:val="002F0AB8"/>
    <w:rsid w:val="00310FB6"/>
    <w:rsid w:val="00326D00"/>
    <w:rsid w:val="00342E0F"/>
    <w:rsid w:val="003501BC"/>
    <w:rsid w:val="00351A95"/>
    <w:rsid w:val="00355EF7"/>
    <w:rsid w:val="00356C11"/>
    <w:rsid w:val="003655BB"/>
    <w:rsid w:val="003B33D7"/>
    <w:rsid w:val="003C1B1E"/>
    <w:rsid w:val="003C5824"/>
    <w:rsid w:val="003E4A7C"/>
    <w:rsid w:val="0040698B"/>
    <w:rsid w:val="00415407"/>
    <w:rsid w:val="00426137"/>
    <w:rsid w:val="004432E3"/>
    <w:rsid w:val="00443BEE"/>
    <w:rsid w:val="004A4C0C"/>
    <w:rsid w:val="004A7BBC"/>
    <w:rsid w:val="004C27FD"/>
    <w:rsid w:val="004C32EC"/>
    <w:rsid w:val="004C6935"/>
    <w:rsid w:val="004C7076"/>
    <w:rsid w:val="004C7CAC"/>
    <w:rsid w:val="004F10E4"/>
    <w:rsid w:val="00503007"/>
    <w:rsid w:val="005075B2"/>
    <w:rsid w:val="0051349E"/>
    <w:rsid w:val="0054263A"/>
    <w:rsid w:val="005549A6"/>
    <w:rsid w:val="00557A7F"/>
    <w:rsid w:val="005647E2"/>
    <w:rsid w:val="00565601"/>
    <w:rsid w:val="0057249D"/>
    <w:rsid w:val="00572791"/>
    <w:rsid w:val="005773D2"/>
    <w:rsid w:val="0059160A"/>
    <w:rsid w:val="005B1D81"/>
    <w:rsid w:val="005B3470"/>
    <w:rsid w:val="005C321F"/>
    <w:rsid w:val="005C557E"/>
    <w:rsid w:val="005D027E"/>
    <w:rsid w:val="005D4DB4"/>
    <w:rsid w:val="005F5646"/>
    <w:rsid w:val="005F5DD6"/>
    <w:rsid w:val="00607D6C"/>
    <w:rsid w:val="00611F35"/>
    <w:rsid w:val="0063311E"/>
    <w:rsid w:val="006515DC"/>
    <w:rsid w:val="00652D2A"/>
    <w:rsid w:val="006642AC"/>
    <w:rsid w:val="006761AF"/>
    <w:rsid w:val="00683F49"/>
    <w:rsid w:val="00687FDC"/>
    <w:rsid w:val="006B3EF2"/>
    <w:rsid w:val="006B4E64"/>
    <w:rsid w:val="006D4291"/>
    <w:rsid w:val="006E5C3A"/>
    <w:rsid w:val="006F467C"/>
    <w:rsid w:val="00711BD7"/>
    <w:rsid w:val="007140E9"/>
    <w:rsid w:val="00725D42"/>
    <w:rsid w:val="00753629"/>
    <w:rsid w:val="0077483A"/>
    <w:rsid w:val="00782E51"/>
    <w:rsid w:val="007A7642"/>
    <w:rsid w:val="007A7933"/>
    <w:rsid w:val="007A7AAD"/>
    <w:rsid w:val="007B2FE4"/>
    <w:rsid w:val="007D2253"/>
    <w:rsid w:val="007D31FB"/>
    <w:rsid w:val="007D4FCB"/>
    <w:rsid w:val="007E658C"/>
    <w:rsid w:val="007F2232"/>
    <w:rsid w:val="00801A09"/>
    <w:rsid w:val="0080559D"/>
    <w:rsid w:val="00811F96"/>
    <w:rsid w:val="00820413"/>
    <w:rsid w:val="00826036"/>
    <w:rsid w:val="00830A73"/>
    <w:rsid w:val="00861C7A"/>
    <w:rsid w:val="00876482"/>
    <w:rsid w:val="008911CD"/>
    <w:rsid w:val="00896FE3"/>
    <w:rsid w:val="008A3900"/>
    <w:rsid w:val="008C7D61"/>
    <w:rsid w:val="008C7DBA"/>
    <w:rsid w:val="008D0245"/>
    <w:rsid w:val="008E14D9"/>
    <w:rsid w:val="008F0689"/>
    <w:rsid w:val="008F1A31"/>
    <w:rsid w:val="008F4784"/>
    <w:rsid w:val="008F529F"/>
    <w:rsid w:val="00916186"/>
    <w:rsid w:val="00923AB8"/>
    <w:rsid w:val="0092688E"/>
    <w:rsid w:val="00953D12"/>
    <w:rsid w:val="00976173"/>
    <w:rsid w:val="00981E0A"/>
    <w:rsid w:val="009B4256"/>
    <w:rsid w:val="009C0F0E"/>
    <w:rsid w:val="009C12E2"/>
    <w:rsid w:val="009E7187"/>
    <w:rsid w:val="009E7822"/>
    <w:rsid w:val="009F7CF2"/>
    <w:rsid w:val="00A06D07"/>
    <w:rsid w:val="00A16F90"/>
    <w:rsid w:val="00A1709A"/>
    <w:rsid w:val="00A2709B"/>
    <w:rsid w:val="00A57FE9"/>
    <w:rsid w:val="00A602A4"/>
    <w:rsid w:val="00A60B4F"/>
    <w:rsid w:val="00A61F85"/>
    <w:rsid w:val="00A770B7"/>
    <w:rsid w:val="00A90E9E"/>
    <w:rsid w:val="00A95330"/>
    <w:rsid w:val="00AA109A"/>
    <w:rsid w:val="00AA74A0"/>
    <w:rsid w:val="00B03187"/>
    <w:rsid w:val="00B111DC"/>
    <w:rsid w:val="00B12AA4"/>
    <w:rsid w:val="00B14ECE"/>
    <w:rsid w:val="00B17A6E"/>
    <w:rsid w:val="00B2408B"/>
    <w:rsid w:val="00B31BCF"/>
    <w:rsid w:val="00B43358"/>
    <w:rsid w:val="00B5586F"/>
    <w:rsid w:val="00B707ED"/>
    <w:rsid w:val="00B8033C"/>
    <w:rsid w:val="00B81F25"/>
    <w:rsid w:val="00B840D0"/>
    <w:rsid w:val="00B869F5"/>
    <w:rsid w:val="00B94D50"/>
    <w:rsid w:val="00BB43D3"/>
    <w:rsid w:val="00BF2D13"/>
    <w:rsid w:val="00BF6B21"/>
    <w:rsid w:val="00C1330A"/>
    <w:rsid w:val="00C43FE2"/>
    <w:rsid w:val="00C5337E"/>
    <w:rsid w:val="00C55629"/>
    <w:rsid w:val="00C8567E"/>
    <w:rsid w:val="00C941A6"/>
    <w:rsid w:val="00CB62B8"/>
    <w:rsid w:val="00CD2647"/>
    <w:rsid w:val="00CD31C8"/>
    <w:rsid w:val="00CD69E9"/>
    <w:rsid w:val="00D03E8B"/>
    <w:rsid w:val="00D13D4F"/>
    <w:rsid w:val="00D2505C"/>
    <w:rsid w:val="00D312CE"/>
    <w:rsid w:val="00D32BE6"/>
    <w:rsid w:val="00D34BC2"/>
    <w:rsid w:val="00D41542"/>
    <w:rsid w:val="00D4392B"/>
    <w:rsid w:val="00D47106"/>
    <w:rsid w:val="00D61D0A"/>
    <w:rsid w:val="00D72C4C"/>
    <w:rsid w:val="00DB43DF"/>
    <w:rsid w:val="00DB47F5"/>
    <w:rsid w:val="00DC0E5D"/>
    <w:rsid w:val="00DC687D"/>
    <w:rsid w:val="00DD7BEA"/>
    <w:rsid w:val="00E104D8"/>
    <w:rsid w:val="00E27DF4"/>
    <w:rsid w:val="00E32BBC"/>
    <w:rsid w:val="00E40E09"/>
    <w:rsid w:val="00E520C7"/>
    <w:rsid w:val="00E806CD"/>
    <w:rsid w:val="00E8341E"/>
    <w:rsid w:val="00E8714D"/>
    <w:rsid w:val="00ED2324"/>
    <w:rsid w:val="00ED26E6"/>
    <w:rsid w:val="00ED4B06"/>
    <w:rsid w:val="00ED71D2"/>
    <w:rsid w:val="00EF3945"/>
    <w:rsid w:val="00F00BD1"/>
    <w:rsid w:val="00F04C31"/>
    <w:rsid w:val="00F13AA6"/>
    <w:rsid w:val="00F21B40"/>
    <w:rsid w:val="00F31782"/>
    <w:rsid w:val="00F34233"/>
    <w:rsid w:val="00F34350"/>
    <w:rsid w:val="00F34E6A"/>
    <w:rsid w:val="00F508A5"/>
    <w:rsid w:val="00F50B93"/>
    <w:rsid w:val="00F97E2F"/>
    <w:rsid w:val="00FC4CD8"/>
    <w:rsid w:val="00FD32EC"/>
    <w:rsid w:val="00FD7CE6"/>
    <w:rsid w:val="00FE654F"/>
    <w:rsid w:val="00FF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28061-A9EE-4F08-A7D6-271D1CDE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Ekaterina.Gamezo</cp:lastModifiedBy>
  <cp:revision>117</cp:revision>
  <cp:lastPrinted>2017-01-24T11:27:00Z</cp:lastPrinted>
  <dcterms:created xsi:type="dcterms:W3CDTF">2016-05-16T08:03:00Z</dcterms:created>
  <dcterms:modified xsi:type="dcterms:W3CDTF">2017-01-24T11:27:00Z</dcterms:modified>
</cp:coreProperties>
</file>