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C00685">
        <w:rPr>
          <w:bCs/>
          <w:spacing w:val="-5"/>
          <w:sz w:val="26"/>
          <w:szCs w:val="26"/>
        </w:rPr>
        <w:t>марта</w:t>
      </w:r>
      <w:r w:rsidR="001D32EF">
        <w:rPr>
          <w:bCs/>
          <w:spacing w:val="-5"/>
          <w:sz w:val="26"/>
          <w:szCs w:val="26"/>
        </w:rPr>
        <w:t xml:space="preserve"> </w:t>
      </w:r>
      <w:r w:rsidR="00493B7C">
        <w:rPr>
          <w:bCs/>
          <w:spacing w:val="-5"/>
          <w:sz w:val="26"/>
          <w:szCs w:val="26"/>
        </w:rPr>
        <w:t>2025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96256B">
        <w:rPr>
          <w:bCs/>
          <w:spacing w:val="-5"/>
          <w:sz w:val="26"/>
          <w:szCs w:val="26"/>
        </w:rPr>
        <w:t>7</w:t>
      </w:r>
      <w:r w:rsidR="00424CC9">
        <w:rPr>
          <w:bCs/>
          <w:spacing w:val="-5"/>
          <w:sz w:val="26"/>
          <w:szCs w:val="26"/>
        </w:rPr>
        <w:t>,6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96256B">
        <w:rPr>
          <w:bCs/>
          <w:spacing w:val="-5"/>
          <w:sz w:val="26"/>
          <w:szCs w:val="26"/>
        </w:rPr>
        <w:t>23</w:t>
      </w:r>
      <w:r w:rsidR="00424CC9">
        <w:rPr>
          <w:bCs/>
          <w:spacing w:val="-5"/>
          <w:sz w:val="26"/>
          <w:szCs w:val="26"/>
        </w:rPr>
        <w:t>5</w:t>
      </w:r>
      <w:r w:rsidR="0096256B">
        <w:rPr>
          <w:bCs/>
          <w:spacing w:val="-5"/>
          <w:sz w:val="26"/>
          <w:szCs w:val="26"/>
        </w:rPr>
        <w:t>,</w:t>
      </w:r>
      <w:r w:rsidR="00424CC9">
        <w:rPr>
          <w:bCs/>
          <w:spacing w:val="-5"/>
          <w:sz w:val="26"/>
          <w:szCs w:val="26"/>
        </w:rPr>
        <w:t>4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0" w:name="OLE_LINK3"/>
      <w:bookmarkStart w:id="1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0"/>
      <w:bookmarkEnd w:id="1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0685">
        <w:rPr>
          <w:rFonts w:ascii="Arial" w:hAnsi="Arial" w:cs="Arial"/>
          <w:b/>
          <w:bCs/>
          <w:sz w:val="22"/>
          <w:szCs w:val="22"/>
        </w:rPr>
        <w:t>марта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C00685">
              <w:rPr>
                <w:spacing w:val="-2"/>
                <w:sz w:val="22"/>
                <w:szCs w:val="22"/>
              </w:rPr>
              <w:t>марта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pacing w:val="-2"/>
                <w:sz w:val="22"/>
                <w:szCs w:val="22"/>
              </w:rPr>
              <w:t>2024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D7489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B435FF" w:rsidRDefault="00D7489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2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0A71AB" w:rsidRDefault="00D74894" w:rsidP="00424CC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D74894">
              <w:rPr>
                <w:b/>
                <w:sz w:val="22"/>
                <w:szCs w:val="22"/>
              </w:rPr>
              <w:t>15</w:t>
            </w:r>
            <w:r w:rsidR="0096256B">
              <w:rPr>
                <w:b/>
                <w:sz w:val="22"/>
                <w:szCs w:val="22"/>
              </w:rPr>
              <w:t>7</w:t>
            </w:r>
            <w:r w:rsidRPr="00D74894">
              <w:rPr>
                <w:b/>
                <w:sz w:val="22"/>
                <w:szCs w:val="22"/>
              </w:rPr>
              <w:t> </w:t>
            </w:r>
            <w:r w:rsidR="00424CC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C05D67" w:rsidRDefault="00D7489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9A4FCB" w:rsidRDefault="00D74894" w:rsidP="00424CC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</w:t>
            </w:r>
            <w:r w:rsidR="00424CC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E769D" w:rsidRDefault="00D74894" w:rsidP="00424CC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96256B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424CC9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4894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563C4E" w:rsidRDefault="00D74894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8730A4" w:rsidRDefault="00D74894" w:rsidP="00891911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4894" w:rsidRPr="00FC1AB7" w:rsidRDefault="00D74894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2"/>
      <w:tr w:rsidR="00424CC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15 743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100,8</w:t>
            </w:r>
          </w:p>
        </w:tc>
      </w:tr>
      <w:tr w:rsidR="00424CC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13 874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100,7</w:t>
            </w:r>
          </w:p>
        </w:tc>
      </w:tr>
      <w:tr w:rsidR="00424CC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14 576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100,4</w:t>
            </w:r>
          </w:p>
        </w:tc>
      </w:tr>
      <w:tr w:rsidR="00424CC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12 046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100,7</w:t>
            </w:r>
          </w:p>
        </w:tc>
      </w:tr>
      <w:tr w:rsidR="00424CC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61 089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38,8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101,1</w:t>
            </w:r>
          </w:p>
        </w:tc>
      </w:tr>
      <w:tr w:rsidR="00424CC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27 886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bookmarkStart w:id="3" w:name="_GoBack"/>
            <w:bookmarkEnd w:id="3"/>
            <w:r w:rsidRPr="00424CC9">
              <w:rPr>
                <w:bCs/>
                <w:sz w:val="22"/>
                <w:szCs w:val="22"/>
              </w:rPr>
              <w:t>17,7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100,7</w:t>
            </w:r>
          </w:p>
        </w:tc>
      </w:tr>
      <w:tr w:rsidR="00424CC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12 341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100,7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891911" w:rsidRDefault="00D74894" w:rsidP="00424CC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11838">
              <w:rPr>
                <w:b/>
                <w:bCs/>
                <w:sz w:val="22"/>
                <w:szCs w:val="22"/>
              </w:rPr>
              <w:t>3</w:t>
            </w:r>
            <w:r w:rsidR="00424CC9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424CC9">
              <w:rPr>
                <w:b/>
                <w:bCs/>
                <w:sz w:val="22"/>
                <w:szCs w:val="22"/>
              </w:rPr>
              <w:t>423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9171F9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Pr="009171F9" w:rsidRDefault="00711838" w:rsidP="00424CC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</w:t>
            </w:r>
            <w:r w:rsidR="00424CC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9171F9" w:rsidRDefault="00711838" w:rsidP="00424CC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424CC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24CC9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32 366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99,7</w:t>
            </w:r>
          </w:p>
        </w:tc>
      </w:tr>
      <w:tr w:rsidR="00424CC9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21 133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99,2</w:t>
            </w:r>
          </w:p>
        </w:tc>
      </w:tr>
      <w:tr w:rsidR="00424CC9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27 427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99,3</w:t>
            </w:r>
          </w:p>
        </w:tc>
      </w:tr>
      <w:tr w:rsidR="00424CC9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25 111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98,8</w:t>
            </w:r>
          </w:p>
        </w:tc>
      </w:tr>
      <w:tr w:rsidR="00424CC9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61 524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26,1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99,1</w:t>
            </w:r>
          </w:p>
        </w:tc>
      </w:tr>
      <w:tr w:rsidR="00424CC9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44 135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99,0</w:t>
            </w:r>
          </w:p>
        </w:tc>
      </w:tr>
      <w:tr w:rsidR="00424CC9" w:rsidRPr="002158F2" w:rsidTr="00A640B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563C4E" w:rsidRDefault="00424CC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8730A4" w:rsidRDefault="00424CC9" w:rsidP="00424CC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23 727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24CC9">
              <w:rPr>
                <w:bCs/>
                <w:sz w:val="22"/>
                <w:szCs w:val="22"/>
              </w:rPr>
              <w:t>99,6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AE491E">
        <w:rPr>
          <w:bCs/>
          <w:spacing w:val="-2"/>
          <w:sz w:val="26"/>
          <w:szCs w:val="26"/>
        </w:rPr>
        <w:t>10,</w:t>
      </w:r>
      <w:r w:rsidR="00711838">
        <w:rPr>
          <w:bCs/>
          <w:spacing w:val="-2"/>
          <w:sz w:val="26"/>
          <w:szCs w:val="26"/>
        </w:rPr>
        <w:t>6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C00685">
        <w:rPr>
          <w:sz w:val="26"/>
          <w:szCs w:val="26"/>
        </w:rPr>
        <w:t>марта</w:t>
      </w:r>
      <w:r w:rsidR="00C05D67">
        <w:rPr>
          <w:sz w:val="26"/>
          <w:szCs w:val="26"/>
        </w:rPr>
        <w:t xml:space="preserve"> </w:t>
      </w:r>
      <w:r w:rsidR="00493B7C">
        <w:rPr>
          <w:sz w:val="26"/>
          <w:szCs w:val="26"/>
        </w:rPr>
        <w:t>2024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424CC9">
        <w:rPr>
          <w:spacing w:val="-2"/>
          <w:sz w:val="26"/>
          <w:szCs w:val="26"/>
        </w:rPr>
        <w:t>1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0685">
        <w:rPr>
          <w:rFonts w:ascii="Arial" w:hAnsi="Arial" w:cs="Arial"/>
          <w:b/>
          <w:bCs/>
          <w:sz w:val="22"/>
          <w:szCs w:val="22"/>
        </w:rPr>
        <w:t>марта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C00685">
              <w:rPr>
                <w:spacing w:val="-5"/>
                <w:sz w:val="22"/>
                <w:szCs w:val="22"/>
              </w:rPr>
              <w:t>марта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pacing w:val="-5"/>
                <w:sz w:val="22"/>
                <w:szCs w:val="22"/>
              </w:rPr>
              <w:t>2024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D74894" w:rsidP="00424CC9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711838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 </w:t>
            </w:r>
            <w:r w:rsidR="00424CC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321E92" w:rsidRDefault="00321E92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A640BC" w:rsidRDefault="00D74894" w:rsidP="00424CC9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424C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D53DEA" w:rsidRDefault="008C6C3F" w:rsidP="00424CC9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1183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424CC9">
              <w:rPr>
                <w:b/>
                <w:sz w:val="22"/>
                <w:szCs w:val="22"/>
              </w:rPr>
              <w:t>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424CC9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563C4E" w:rsidRDefault="00424CC9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15 388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51454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98,5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99,9</w:t>
            </w:r>
          </w:p>
        </w:tc>
      </w:tr>
      <w:tr w:rsidR="00424CC9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563C4E" w:rsidRDefault="00424CC9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1 781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51454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100,3</w:t>
            </w:r>
          </w:p>
        </w:tc>
      </w:tr>
      <w:tr w:rsidR="00424CC9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563C4E" w:rsidRDefault="00424CC9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13 607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C039F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8,</w:t>
            </w:r>
            <w:r w:rsidR="00C039FE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51454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98,3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99,8</w:t>
            </w:r>
          </w:p>
        </w:tc>
      </w:tr>
      <w:tr w:rsidR="00424CC9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563C4E" w:rsidRDefault="00424CC9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130 196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82,6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103,9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100,9</w:t>
            </w:r>
          </w:p>
        </w:tc>
      </w:tr>
      <w:tr w:rsidR="00424CC9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563C4E" w:rsidRDefault="00424CC9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1 248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97,5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100,5</w:t>
            </w:r>
          </w:p>
        </w:tc>
      </w:tr>
      <w:tr w:rsidR="00424CC9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563C4E" w:rsidRDefault="00424CC9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11 971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7,6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105,8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101,4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711838">
        <w:rPr>
          <w:bCs/>
          <w:sz w:val="26"/>
          <w:szCs w:val="26"/>
        </w:rPr>
        <w:t>157</w:t>
      </w:r>
      <w:r w:rsidR="00424CC9">
        <w:rPr>
          <w:bCs/>
          <w:sz w:val="26"/>
          <w:szCs w:val="26"/>
        </w:rPr>
        <w:t>,6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424CC9">
        <w:rPr>
          <w:bCs/>
          <w:sz w:val="26"/>
          <w:szCs w:val="26"/>
        </w:rPr>
        <w:t>34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</w:t>
      </w:r>
      <w:r w:rsidR="00711838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E491E">
        <w:rPr>
          <w:bCs/>
          <w:sz w:val="26"/>
          <w:szCs w:val="26"/>
        </w:rPr>
        <w:t>1</w:t>
      </w:r>
      <w:r w:rsidR="008C6C3F">
        <w:rPr>
          <w:bCs/>
          <w:sz w:val="26"/>
          <w:szCs w:val="26"/>
        </w:rPr>
        <w:t>2</w:t>
      </w:r>
      <w:r w:rsidR="00711838">
        <w:rPr>
          <w:bCs/>
          <w:sz w:val="26"/>
          <w:szCs w:val="26"/>
        </w:rPr>
        <w:t>3</w:t>
      </w:r>
      <w:r w:rsidR="00AE491E">
        <w:rPr>
          <w:bCs/>
          <w:sz w:val="26"/>
          <w:szCs w:val="26"/>
        </w:rPr>
        <w:t>,</w:t>
      </w:r>
      <w:r w:rsidR="00424CC9">
        <w:rPr>
          <w:bCs/>
          <w:sz w:val="26"/>
          <w:szCs w:val="26"/>
        </w:rPr>
        <w:t>6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</w:t>
      </w:r>
      <w:r w:rsidR="00711838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0685">
        <w:rPr>
          <w:rFonts w:ascii="Arial" w:hAnsi="Arial" w:cs="Arial"/>
          <w:b/>
          <w:bCs/>
          <w:sz w:val="22"/>
          <w:szCs w:val="22"/>
        </w:rPr>
        <w:t>марта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C00685">
              <w:rPr>
                <w:spacing w:val="-10"/>
                <w:sz w:val="22"/>
                <w:szCs w:val="22"/>
              </w:rPr>
              <w:t>марта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D74894" w:rsidP="00424CC9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711838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424CC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A37EF1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E1CCC" w:rsidRDefault="00D74894" w:rsidP="00424CC9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424C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Pr="00D53DEA" w:rsidRDefault="008C6C3F" w:rsidP="00424CC9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1183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424CC9">
              <w:rPr>
                <w:b/>
                <w:sz w:val="22"/>
                <w:szCs w:val="22"/>
              </w:rPr>
              <w:t>8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5 782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100,2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105,3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16 789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100,5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1 304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100,4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2 185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100,4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3 303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100,1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100,0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595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101,2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100,0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2 196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100,2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2 004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101,2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99,7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101,1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100,3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102,5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3 379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100,7</w:t>
            </w:r>
          </w:p>
        </w:tc>
      </w:tr>
      <w:tr w:rsidR="00424CC9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33D0B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100,4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99,5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10 736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100,8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46 189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101,3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12 475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101,1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5 805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102,0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4 878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100,4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FF4D06" w:rsidRDefault="00424CC9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FF4D06" w:rsidRDefault="00424CC9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843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99,8</w:t>
            </w:r>
          </w:p>
        </w:tc>
      </w:tr>
      <w:tr w:rsidR="00424CC9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FF4D06" w:rsidRDefault="00424CC9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98,8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FF4D06" w:rsidRDefault="00424CC9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3 864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100,6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06D8F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628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100,0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11 721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99,7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7 673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100,5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4 890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100,8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99,6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2 518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100,0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5 378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00A46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101,2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3 921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00A46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99,97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9 250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00A46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100,4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2 548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00A46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424CC9" w:rsidRDefault="00424CC9" w:rsidP="00424CC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424CC9">
              <w:rPr>
                <w:sz w:val="22"/>
                <w:szCs w:val="22"/>
              </w:rPr>
              <w:t>100,6</w:t>
            </w:r>
          </w:p>
        </w:tc>
      </w:tr>
      <w:tr w:rsidR="00424CC9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Default="00424CC9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DE26C8" w:rsidRDefault="00424CC9" w:rsidP="00514547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800A46" w:rsidRDefault="00424CC9" w:rsidP="00514547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24CC9" w:rsidRPr="0006656C" w:rsidRDefault="00424CC9" w:rsidP="00514547">
            <w:pPr>
              <w:spacing w:before="40" w:after="40" w:line="184" w:lineRule="exact"/>
              <w:ind w:right="99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CC9" w:rsidRPr="00ED4DD7" w:rsidRDefault="00424CC9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D4DD7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1 918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800A46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100,4</w:t>
            </w:r>
          </w:p>
        </w:tc>
      </w:tr>
      <w:tr w:rsidR="00ED4DD7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630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800A46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101,0</w:t>
            </w:r>
          </w:p>
        </w:tc>
      </w:tr>
      <w:tr w:rsidR="00ED4DD7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3 320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800A46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100,6</w:t>
            </w:r>
          </w:p>
        </w:tc>
      </w:tr>
      <w:tr w:rsidR="00ED4DD7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9 779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800A46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ED4DD7" w:rsidRDefault="00ED4DD7" w:rsidP="00ED4DD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ED4DD7">
              <w:rPr>
                <w:sz w:val="22"/>
                <w:szCs w:val="22"/>
              </w:rPr>
              <w:t>101,3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00685">
        <w:rPr>
          <w:rFonts w:ascii="Arial" w:hAnsi="Arial" w:cs="Arial"/>
          <w:b/>
          <w:bCs/>
          <w:sz w:val="22"/>
          <w:szCs w:val="22"/>
        </w:rPr>
        <w:t>марта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493B7C"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C00685">
              <w:rPr>
                <w:spacing w:val="-10"/>
                <w:sz w:val="22"/>
                <w:szCs w:val="22"/>
              </w:rPr>
              <w:t>марта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493B7C">
              <w:rPr>
                <w:sz w:val="22"/>
                <w:szCs w:val="22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493B7C">
              <w:rPr>
                <w:sz w:val="22"/>
                <w:szCs w:val="22"/>
              </w:rPr>
              <w:t>2025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ED4DD7" w:rsidP="003E7F79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235 423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37EF1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F6421A" w:rsidRDefault="003E7F79" w:rsidP="00ED4DD7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</w:t>
            </w:r>
            <w:r w:rsidR="00ED4DD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F6421A" w:rsidRDefault="003E7F79" w:rsidP="00ED4DD7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ED4DD7">
              <w:rPr>
                <w:b/>
                <w:sz w:val="22"/>
                <w:szCs w:val="22"/>
              </w:rPr>
              <w:t>2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D06D8F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13 356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99,5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D06D8F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18 409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99,0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D06D8F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81 507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99,1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D06D8F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36 903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46365F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100,2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D06D8F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9 824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5660B3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97,5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10 671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99,3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22 956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98,3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7 724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ED4DD7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99,5</w:t>
            </w:r>
          </w:p>
        </w:tc>
      </w:tr>
      <w:tr w:rsidR="00ED4DD7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Default="00ED4DD7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13 401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93,2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4DD7" w:rsidRPr="006C51C6" w:rsidRDefault="00ED4DD7" w:rsidP="00ED4DD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99,0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4A68F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15D" w:rsidRDefault="0003415D">
      <w:r>
        <w:separator/>
      </w:r>
    </w:p>
  </w:endnote>
  <w:endnote w:type="continuationSeparator" w:id="0">
    <w:p w:rsidR="0003415D" w:rsidRDefault="0003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685" w:rsidRDefault="00C00685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C00685" w:rsidRDefault="00C0068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685" w:rsidRDefault="00C00685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4A68F9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C00685" w:rsidRDefault="00C0068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15D" w:rsidRDefault="0003415D">
      <w:r>
        <w:separator/>
      </w:r>
    </w:p>
  </w:footnote>
  <w:footnote w:type="continuationSeparator" w:id="0">
    <w:p w:rsidR="0003415D" w:rsidRDefault="0003415D">
      <w:r>
        <w:continuationSeparator/>
      </w:r>
    </w:p>
  </w:footnote>
  <w:footnote w:id="1">
    <w:p w:rsidR="00C00685" w:rsidRPr="004254DA" w:rsidRDefault="00C00685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C00685" w:rsidRPr="004254DA" w:rsidRDefault="00C00685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C00685">
      <w:trPr>
        <w:cantSplit/>
      </w:trPr>
      <w:tc>
        <w:tcPr>
          <w:tcW w:w="2808" w:type="dxa"/>
        </w:tcPr>
        <w:p w:rsidR="00C00685" w:rsidRPr="009E68EF" w:rsidRDefault="00C0068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C00685" w:rsidRPr="009E68EF" w:rsidRDefault="00C00685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C00685" w:rsidRPr="009E68EF" w:rsidRDefault="00C00685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C00685">
      <w:trPr>
        <w:cantSplit/>
      </w:trPr>
      <w:tc>
        <w:tcPr>
          <w:tcW w:w="2808" w:type="dxa"/>
        </w:tcPr>
        <w:p w:rsidR="00C00685" w:rsidRPr="009E68EF" w:rsidRDefault="00C00685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C00685" w:rsidRPr="009E68EF" w:rsidRDefault="00C00685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C00685" w:rsidRPr="009E68EF" w:rsidRDefault="00C00685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C00685" w:rsidRDefault="00C00685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685" w:rsidRPr="005A6E22" w:rsidRDefault="00C00685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29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415D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E97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26C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D788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76"/>
    <w:rsid w:val="00111797"/>
    <w:rsid w:val="00111A4A"/>
    <w:rsid w:val="00112F94"/>
    <w:rsid w:val="001148BE"/>
    <w:rsid w:val="001148C3"/>
    <w:rsid w:val="0011700E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43A9"/>
    <w:rsid w:val="001350EB"/>
    <w:rsid w:val="001358EF"/>
    <w:rsid w:val="00136095"/>
    <w:rsid w:val="0013777E"/>
    <w:rsid w:val="0014059F"/>
    <w:rsid w:val="00141196"/>
    <w:rsid w:val="0014212B"/>
    <w:rsid w:val="00142EED"/>
    <w:rsid w:val="001434F6"/>
    <w:rsid w:val="001441DF"/>
    <w:rsid w:val="0014521F"/>
    <w:rsid w:val="00146AB7"/>
    <w:rsid w:val="00147DDF"/>
    <w:rsid w:val="00150A7F"/>
    <w:rsid w:val="00150D12"/>
    <w:rsid w:val="001528F7"/>
    <w:rsid w:val="00152A3D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168"/>
    <w:rsid w:val="001667FC"/>
    <w:rsid w:val="00170024"/>
    <w:rsid w:val="0017015A"/>
    <w:rsid w:val="001715D8"/>
    <w:rsid w:val="00172B13"/>
    <w:rsid w:val="00173F44"/>
    <w:rsid w:val="0017521D"/>
    <w:rsid w:val="001771A9"/>
    <w:rsid w:val="0018290D"/>
    <w:rsid w:val="00185F18"/>
    <w:rsid w:val="00193047"/>
    <w:rsid w:val="00195563"/>
    <w:rsid w:val="001961C4"/>
    <w:rsid w:val="00197D91"/>
    <w:rsid w:val="001A0E7C"/>
    <w:rsid w:val="001A1F77"/>
    <w:rsid w:val="001A6C66"/>
    <w:rsid w:val="001A782F"/>
    <w:rsid w:val="001B2FC8"/>
    <w:rsid w:val="001B4853"/>
    <w:rsid w:val="001B536F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1E1"/>
    <w:rsid w:val="00224311"/>
    <w:rsid w:val="002247DF"/>
    <w:rsid w:val="00224E3D"/>
    <w:rsid w:val="00225409"/>
    <w:rsid w:val="002263FF"/>
    <w:rsid w:val="00226829"/>
    <w:rsid w:val="00230504"/>
    <w:rsid w:val="00230925"/>
    <w:rsid w:val="002363D5"/>
    <w:rsid w:val="00237F2A"/>
    <w:rsid w:val="00240DB4"/>
    <w:rsid w:val="0024111B"/>
    <w:rsid w:val="00241890"/>
    <w:rsid w:val="002435DF"/>
    <w:rsid w:val="002446ED"/>
    <w:rsid w:val="002530F2"/>
    <w:rsid w:val="00255EC8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7C0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367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079A3"/>
    <w:rsid w:val="0031182A"/>
    <w:rsid w:val="003126D2"/>
    <w:rsid w:val="00314958"/>
    <w:rsid w:val="003153F9"/>
    <w:rsid w:val="00315940"/>
    <w:rsid w:val="00317617"/>
    <w:rsid w:val="00321905"/>
    <w:rsid w:val="003219DF"/>
    <w:rsid w:val="00321E92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57DAF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261"/>
    <w:rsid w:val="00382B52"/>
    <w:rsid w:val="00386BDC"/>
    <w:rsid w:val="00390FB7"/>
    <w:rsid w:val="00394245"/>
    <w:rsid w:val="0039428A"/>
    <w:rsid w:val="00394BCC"/>
    <w:rsid w:val="003A0F8C"/>
    <w:rsid w:val="003A3E87"/>
    <w:rsid w:val="003A3FCD"/>
    <w:rsid w:val="003A5D12"/>
    <w:rsid w:val="003A7830"/>
    <w:rsid w:val="003B1735"/>
    <w:rsid w:val="003B47C7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DA6"/>
    <w:rsid w:val="003D3FEB"/>
    <w:rsid w:val="003D523F"/>
    <w:rsid w:val="003D66C5"/>
    <w:rsid w:val="003E047A"/>
    <w:rsid w:val="003E206F"/>
    <w:rsid w:val="003E53A5"/>
    <w:rsid w:val="003E724C"/>
    <w:rsid w:val="003E7F79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4CC9"/>
    <w:rsid w:val="004254DA"/>
    <w:rsid w:val="00425716"/>
    <w:rsid w:val="0043497E"/>
    <w:rsid w:val="004370EC"/>
    <w:rsid w:val="00437DDD"/>
    <w:rsid w:val="0044039D"/>
    <w:rsid w:val="00441B64"/>
    <w:rsid w:val="00443F2D"/>
    <w:rsid w:val="004501DB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290"/>
    <w:rsid w:val="004834B1"/>
    <w:rsid w:val="0048433D"/>
    <w:rsid w:val="00486A6B"/>
    <w:rsid w:val="00490658"/>
    <w:rsid w:val="004935E6"/>
    <w:rsid w:val="00493B7C"/>
    <w:rsid w:val="00495EED"/>
    <w:rsid w:val="004968B2"/>
    <w:rsid w:val="004A0250"/>
    <w:rsid w:val="004A0742"/>
    <w:rsid w:val="004A0782"/>
    <w:rsid w:val="004A315A"/>
    <w:rsid w:val="004A33D9"/>
    <w:rsid w:val="004A68F9"/>
    <w:rsid w:val="004B0C2A"/>
    <w:rsid w:val="004B2643"/>
    <w:rsid w:val="004B2A19"/>
    <w:rsid w:val="004B5575"/>
    <w:rsid w:val="004B6061"/>
    <w:rsid w:val="004B77F9"/>
    <w:rsid w:val="004B7C14"/>
    <w:rsid w:val="004C1C4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260CC"/>
    <w:rsid w:val="00531091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03C6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3E21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C61B6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2F39"/>
    <w:rsid w:val="005F325A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6C50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2D64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5349"/>
    <w:rsid w:val="006874D5"/>
    <w:rsid w:val="006905B5"/>
    <w:rsid w:val="006911D1"/>
    <w:rsid w:val="00691237"/>
    <w:rsid w:val="00691C5D"/>
    <w:rsid w:val="006953C7"/>
    <w:rsid w:val="00696A15"/>
    <w:rsid w:val="006A057A"/>
    <w:rsid w:val="006A072E"/>
    <w:rsid w:val="006A15B8"/>
    <w:rsid w:val="006A1B04"/>
    <w:rsid w:val="006A27BE"/>
    <w:rsid w:val="006A5E15"/>
    <w:rsid w:val="006B10AE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D71E5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838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13A2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1F41"/>
    <w:rsid w:val="007472E4"/>
    <w:rsid w:val="00755CC9"/>
    <w:rsid w:val="00756A6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1307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1C7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1911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49C"/>
    <w:rsid w:val="008B5CE6"/>
    <w:rsid w:val="008B5D0A"/>
    <w:rsid w:val="008B6CFE"/>
    <w:rsid w:val="008C02B4"/>
    <w:rsid w:val="008C42F9"/>
    <w:rsid w:val="008C58F8"/>
    <w:rsid w:val="008C6C3F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171F9"/>
    <w:rsid w:val="00920B62"/>
    <w:rsid w:val="00921FCA"/>
    <w:rsid w:val="009241C2"/>
    <w:rsid w:val="009249C4"/>
    <w:rsid w:val="00924B67"/>
    <w:rsid w:val="00925C2C"/>
    <w:rsid w:val="00926BE5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4828"/>
    <w:rsid w:val="00945837"/>
    <w:rsid w:val="00947648"/>
    <w:rsid w:val="00952102"/>
    <w:rsid w:val="009535C8"/>
    <w:rsid w:val="00954454"/>
    <w:rsid w:val="0095538D"/>
    <w:rsid w:val="00955406"/>
    <w:rsid w:val="00956104"/>
    <w:rsid w:val="009602D2"/>
    <w:rsid w:val="00960F7E"/>
    <w:rsid w:val="0096256B"/>
    <w:rsid w:val="009632A9"/>
    <w:rsid w:val="00964A0A"/>
    <w:rsid w:val="00965479"/>
    <w:rsid w:val="00966851"/>
    <w:rsid w:val="009669E5"/>
    <w:rsid w:val="00967050"/>
    <w:rsid w:val="00967CE8"/>
    <w:rsid w:val="00967F39"/>
    <w:rsid w:val="00970723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29A1"/>
    <w:rsid w:val="00983B15"/>
    <w:rsid w:val="0098583B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665B"/>
    <w:rsid w:val="009B7609"/>
    <w:rsid w:val="009C0293"/>
    <w:rsid w:val="009C1CB4"/>
    <w:rsid w:val="009C4720"/>
    <w:rsid w:val="009C50B7"/>
    <w:rsid w:val="009C5757"/>
    <w:rsid w:val="009D073B"/>
    <w:rsid w:val="009D251B"/>
    <w:rsid w:val="009D35BA"/>
    <w:rsid w:val="009D3687"/>
    <w:rsid w:val="009D4E97"/>
    <w:rsid w:val="009D55D3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1FA0"/>
    <w:rsid w:val="00A146F2"/>
    <w:rsid w:val="00A16F8F"/>
    <w:rsid w:val="00A17196"/>
    <w:rsid w:val="00A215E3"/>
    <w:rsid w:val="00A21742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37EF1"/>
    <w:rsid w:val="00A40092"/>
    <w:rsid w:val="00A4086B"/>
    <w:rsid w:val="00A40B7D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0BC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75E93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312D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BCA"/>
    <w:rsid w:val="00AC3E05"/>
    <w:rsid w:val="00AC3FF6"/>
    <w:rsid w:val="00AC475E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E491E"/>
    <w:rsid w:val="00AF0ADA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27257"/>
    <w:rsid w:val="00B31049"/>
    <w:rsid w:val="00B31A0B"/>
    <w:rsid w:val="00B34293"/>
    <w:rsid w:val="00B342B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3DAD"/>
    <w:rsid w:val="00BE5CE1"/>
    <w:rsid w:val="00BE60C9"/>
    <w:rsid w:val="00BE6C75"/>
    <w:rsid w:val="00BF02C9"/>
    <w:rsid w:val="00BF0E78"/>
    <w:rsid w:val="00BF1D6F"/>
    <w:rsid w:val="00BF3873"/>
    <w:rsid w:val="00BF3C4B"/>
    <w:rsid w:val="00BF418E"/>
    <w:rsid w:val="00BF6FF9"/>
    <w:rsid w:val="00BF7129"/>
    <w:rsid w:val="00BF7977"/>
    <w:rsid w:val="00BF7B41"/>
    <w:rsid w:val="00C00685"/>
    <w:rsid w:val="00C01F8E"/>
    <w:rsid w:val="00C035C5"/>
    <w:rsid w:val="00C039FE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1E06"/>
    <w:rsid w:val="00C5300A"/>
    <w:rsid w:val="00C537C5"/>
    <w:rsid w:val="00C53F49"/>
    <w:rsid w:val="00C544F6"/>
    <w:rsid w:val="00C5711F"/>
    <w:rsid w:val="00C608CF"/>
    <w:rsid w:val="00C6568B"/>
    <w:rsid w:val="00C65EB3"/>
    <w:rsid w:val="00C675EA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D58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1C4"/>
    <w:rsid w:val="00CD6B14"/>
    <w:rsid w:val="00CD7FE7"/>
    <w:rsid w:val="00CE1345"/>
    <w:rsid w:val="00CE13BB"/>
    <w:rsid w:val="00CE17CB"/>
    <w:rsid w:val="00CE18E6"/>
    <w:rsid w:val="00CE1CCC"/>
    <w:rsid w:val="00CE5F7B"/>
    <w:rsid w:val="00CF3F86"/>
    <w:rsid w:val="00CF4B6C"/>
    <w:rsid w:val="00CF7465"/>
    <w:rsid w:val="00CF7FB7"/>
    <w:rsid w:val="00D0183F"/>
    <w:rsid w:val="00D02C7E"/>
    <w:rsid w:val="00D0385E"/>
    <w:rsid w:val="00D06C7F"/>
    <w:rsid w:val="00D06D8F"/>
    <w:rsid w:val="00D07273"/>
    <w:rsid w:val="00D073A9"/>
    <w:rsid w:val="00D0773F"/>
    <w:rsid w:val="00D07CB7"/>
    <w:rsid w:val="00D1178F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0F1"/>
    <w:rsid w:val="00D32CB9"/>
    <w:rsid w:val="00D32E8E"/>
    <w:rsid w:val="00D36693"/>
    <w:rsid w:val="00D36F20"/>
    <w:rsid w:val="00D37E02"/>
    <w:rsid w:val="00D4175A"/>
    <w:rsid w:val="00D41982"/>
    <w:rsid w:val="00D4300F"/>
    <w:rsid w:val="00D43039"/>
    <w:rsid w:val="00D432DC"/>
    <w:rsid w:val="00D437D0"/>
    <w:rsid w:val="00D439B2"/>
    <w:rsid w:val="00D50F1E"/>
    <w:rsid w:val="00D51075"/>
    <w:rsid w:val="00D5131D"/>
    <w:rsid w:val="00D51AC1"/>
    <w:rsid w:val="00D53319"/>
    <w:rsid w:val="00D53DEA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74894"/>
    <w:rsid w:val="00D76A1A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2BC8"/>
    <w:rsid w:val="00DB3397"/>
    <w:rsid w:val="00DB3E11"/>
    <w:rsid w:val="00DB3E70"/>
    <w:rsid w:val="00DB46C7"/>
    <w:rsid w:val="00DB624F"/>
    <w:rsid w:val="00DB6787"/>
    <w:rsid w:val="00DB6B6E"/>
    <w:rsid w:val="00DB77E0"/>
    <w:rsid w:val="00DC5AB5"/>
    <w:rsid w:val="00DD0DE8"/>
    <w:rsid w:val="00DD1701"/>
    <w:rsid w:val="00DD1C54"/>
    <w:rsid w:val="00DD3C8C"/>
    <w:rsid w:val="00DD4B26"/>
    <w:rsid w:val="00DD62B5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46F3"/>
    <w:rsid w:val="00E058E2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4793"/>
    <w:rsid w:val="00E75435"/>
    <w:rsid w:val="00E76DE1"/>
    <w:rsid w:val="00E80924"/>
    <w:rsid w:val="00E83062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2D2"/>
    <w:rsid w:val="00EC4E28"/>
    <w:rsid w:val="00EC517F"/>
    <w:rsid w:val="00ED0A73"/>
    <w:rsid w:val="00ED3D92"/>
    <w:rsid w:val="00ED3E3F"/>
    <w:rsid w:val="00ED47A4"/>
    <w:rsid w:val="00ED4DD7"/>
    <w:rsid w:val="00ED5538"/>
    <w:rsid w:val="00ED6814"/>
    <w:rsid w:val="00ED6A80"/>
    <w:rsid w:val="00ED72D4"/>
    <w:rsid w:val="00EE0D6A"/>
    <w:rsid w:val="00EE17CD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186"/>
    <w:rsid w:val="00EF53C9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07D7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6421A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551D"/>
    <w:rsid w:val="00F96853"/>
    <w:rsid w:val="00F96BDC"/>
    <w:rsid w:val="00F96EF1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3DE5-12A6-43BC-BDFA-F16E3532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Святая Анжелика Станиславовна</cp:lastModifiedBy>
  <cp:revision>36</cp:revision>
  <cp:lastPrinted>2025-03-13T12:19:00Z</cp:lastPrinted>
  <dcterms:created xsi:type="dcterms:W3CDTF">2024-08-15T09:13:00Z</dcterms:created>
  <dcterms:modified xsi:type="dcterms:W3CDTF">2025-03-21T13:56:00Z</dcterms:modified>
</cp:coreProperties>
</file>