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E4" w:rsidRPr="00485C33" w:rsidRDefault="006228E4" w:rsidP="006228E4">
      <w:pPr>
        <w:jc w:val="center"/>
        <w:rPr>
          <w:rFonts w:ascii="Arial" w:eastAsia="Times New Roman" w:hAnsi="Arial" w:cs="Arial"/>
          <w:b/>
          <w:bCs/>
        </w:rPr>
      </w:pPr>
      <w:r w:rsidRPr="00485C33">
        <w:rPr>
          <w:rFonts w:ascii="Arial" w:eastAsia="Times New Roman" w:hAnsi="Arial" w:cs="Arial"/>
          <w:b/>
          <w:bCs/>
        </w:rPr>
        <w:t>ПРЕДИСЛОВИЕ</w:t>
      </w:r>
    </w:p>
    <w:p w:rsidR="006228E4" w:rsidRPr="00B04230" w:rsidRDefault="006228E4" w:rsidP="006228E4">
      <w:pPr>
        <w:spacing w:after="0" w:line="300" w:lineRule="exact"/>
        <w:ind w:firstLine="709"/>
        <w:jc w:val="both"/>
        <w:rPr>
          <w:rFonts w:ascii="Arial" w:eastAsia="Times New Roman" w:hAnsi="Arial" w:cs="Arial"/>
        </w:rPr>
      </w:pPr>
      <w:r>
        <w:rPr>
          <w:rFonts w:ascii="Arial" w:eastAsia="Times New Roman" w:hAnsi="Arial" w:cs="Arial"/>
        </w:rPr>
        <w:t>В статистическом сборнике представлены балансы товарных ресурсов Республики Беларусь в натуральном выражении, которые отражают движение товара (продукции) от момента производства до момента конечного его использования. Содержится информация об основных источниках формирования и направлениях использования отдельных видов товаров.</w:t>
      </w:r>
    </w:p>
    <w:p w:rsidR="006228E4" w:rsidRDefault="006228E4" w:rsidP="006228E4">
      <w:pPr>
        <w:spacing w:after="0" w:line="300" w:lineRule="exact"/>
        <w:ind w:firstLine="709"/>
        <w:jc w:val="both"/>
        <w:rPr>
          <w:rFonts w:ascii="Arial" w:eastAsia="Times New Roman" w:hAnsi="Arial" w:cs="Arial"/>
        </w:rPr>
      </w:pPr>
      <w:r>
        <w:rPr>
          <w:rFonts w:ascii="Arial" w:eastAsia="Times New Roman" w:hAnsi="Arial" w:cs="Arial"/>
        </w:rPr>
        <w:t>Сборник содержит методологические пояснения к отдельным статистическим показателям.</w:t>
      </w:r>
    </w:p>
    <w:p w:rsidR="006228E4" w:rsidRDefault="006228E4" w:rsidP="006228E4">
      <w:pPr>
        <w:spacing w:after="0" w:line="300" w:lineRule="exact"/>
        <w:ind w:firstLine="709"/>
        <w:jc w:val="both"/>
        <w:rPr>
          <w:rFonts w:ascii="Arial" w:eastAsia="Times New Roman" w:hAnsi="Arial" w:cs="Arial"/>
        </w:rPr>
      </w:pPr>
      <w:proofErr w:type="gramStart"/>
      <w:r>
        <w:rPr>
          <w:rFonts w:ascii="Arial" w:eastAsia="Times New Roman" w:hAnsi="Arial" w:cs="Arial"/>
        </w:rPr>
        <w:t>Данные за 201</w:t>
      </w:r>
      <w:r w:rsidRPr="0067364E">
        <w:rPr>
          <w:rFonts w:ascii="Arial" w:eastAsia="Times New Roman" w:hAnsi="Arial" w:cs="Arial"/>
        </w:rPr>
        <w:t>4</w:t>
      </w:r>
      <w:r>
        <w:rPr>
          <w:rFonts w:ascii="Arial" w:eastAsia="Times New Roman" w:hAnsi="Arial" w:cs="Arial"/>
        </w:rPr>
        <w:t xml:space="preserve"> год по некоторым показателям уточнены по сравнению </w:t>
      </w:r>
      <w:r>
        <w:rPr>
          <w:rFonts w:ascii="Arial" w:eastAsia="Times New Roman" w:hAnsi="Arial" w:cs="Arial"/>
        </w:rPr>
        <w:br/>
        <w:t>с опубликованными ранее, за 201</w:t>
      </w:r>
      <w:r w:rsidRPr="0067364E">
        <w:rPr>
          <w:rFonts w:ascii="Arial" w:eastAsia="Times New Roman" w:hAnsi="Arial" w:cs="Arial"/>
        </w:rPr>
        <w:t>5</w:t>
      </w:r>
      <w:r>
        <w:rPr>
          <w:rFonts w:ascii="Arial" w:eastAsia="Times New Roman" w:hAnsi="Arial" w:cs="Arial"/>
        </w:rPr>
        <w:t xml:space="preserve"> год в ряде случаев являются предварительными. </w:t>
      </w:r>
      <w:proofErr w:type="gramEnd"/>
    </w:p>
    <w:p w:rsidR="006228E4" w:rsidRPr="00A25F6E" w:rsidRDefault="006228E4" w:rsidP="006228E4">
      <w:pPr>
        <w:pStyle w:val="2"/>
        <w:widowControl w:val="0"/>
        <w:autoSpaceDE w:val="0"/>
        <w:autoSpaceDN w:val="0"/>
        <w:adjustRightInd w:val="0"/>
        <w:spacing w:after="0" w:line="300" w:lineRule="exact"/>
        <w:ind w:firstLine="709"/>
        <w:jc w:val="both"/>
        <w:rPr>
          <w:rFonts w:ascii="Arial" w:hAnsi="Arial" w:cs="Arial"/>
          <w:sz w:val="22"/>
          <w:szCs w:val="22"/>
        </w:rPr>
      </w:pPr>
      <w:r>
        <w:rPr>
          <w:rFonts w:ascii="Arial" w:hAnsi="Arial" w:cs="Arial"/>
          <w:sz w:val="22"/>
          <w:szCs w:val="22"/>
        </w:rPr>
        <w:t xml:space="preserve">В отдельных случаях незначительные расхождения между итогом </w:t>
      </w:r>
      <w:r>
        <w:rPr>
          <w:rFonts w:ascii="Arial" w:hAnsi="Arial" w:cs="Arial"/>
          <w:sz w:val="22"/>
          <w:szCs w:val="22"/>
        </w:rPr>
        <w:br/>
        <w:t>и суммой слагаемых о</w:t>
      </w:r>
      <w:r w:rsidR="00A25F6E">
        <w:rPr>
          <w:rFonts w:ascii="Arial" w:hAnsi="Arial" w:cs="Arial"/>
          <w:sz w:val="22"/>
          <w:szCs w:val="22"/>
        </w:rPr>
        <w:t>бъясняются округлением данных.</w:t>
      </w:r>
    </w:p>
    <w:p w:rsidR="006228E4" w:rsidRDefault="006228E4" w:rsidP="006228E4">
      <w:pPr>
        <w:tabs>
          <w:tab w:val="left" w:pos="7215"/>
        </w:tabs>
        <w:spacing w:after="0" w:line="300" w:lineRule="exact"/>
        <w:ind w:firstLine="709"/>
        <w:jc w:val="both"/>
        <w:rPr>
          <w:rFonts w:ascii="Arial" w:eastAsia="Times New Roman" w:hAnsi="Arial" w:cs="Arial"/>
        </w:rPr>
      </w:pPr>
      <w:r>
        <w:rPr>
          <w:rFonts w:ascii="Arial" w:hAnsi="Arial" w:cs="Arial"/>
        </w:rPr>
        <w:tab/>
      </w:r>
    </w:p>
    <w:p w:rsidR="006228E4" w:rsidRPr="009608C1" w:rsidRDefault="006228E4" w:rsidP="006228E4">
      <w:pPr>
        <w:pStyle w:val="a3"/>
        <w:ind w:left="851"/>
        <w:jc w:val="left"/>
        <w:rPr>
          <w:b w:val="0"/>
        </w:rPr>
      </w:pPr>
    </w:p>
    <w:p w:rsidR="006228E4" w:rsidRDefault="006228E4" w:rsidP="006228E4">
      <w:pPr>
        <w:tabs>
          <w:tab w:val="left" w:pos="426"/>
        </w:tabs>
        <w:spacing w:after="0"/>
        <w:jc w:val="both"/>
        <w:rPr>
          <w:rFonts w:ascii="Calibri" w:eastAsia="Times New Roman" w:hAnsi="Calibri" w:cs="Times New Roman"/>
        </w:rPr>
      </w:pPr>
    </w:p>
    <w:tbl>
      <w:tblPr>
        <w:tblW w:w="0" w:type="auto"/>
        <w:jc w:val="center"/>
        <w:tblInd w:w="322" w:type="dxa"/>
        <w:tblLayout w:type="fixed"/>
        <w:tblLook w:val="0000"/>
      </w:tblPr>
      <w:tblGrid>
        <w:gridCol w:w="636"/>
        <w:gridCol w:w="2978"/>
      </w:tblGrid>
      <w:tr w:rsidR="006228E4" w:rsidRPr="00485C33" w:rsidTr="005D48BD">
        <w:trPr>
          <w:trHeight w:val="437"/>
          <w:jc w:val="center"/>
        </w:trPr>
        <w:tc>
          <w:tcPr>
            <w:tcW w:w="3614" w:type="dxa"/>
            <w:gridSpan w:val="2"/>
          </w:tcPr>
          <w:p w:rsidR="006228E4" w:rsidRPr="00485C33" w:rsidRDefault="006228E4" w:rsidP="006228E4">
            <w:pPr>
              <w:pStyle w:val="a5"/>
              <w:spacing w:line="240" w:lineRule="exact"/>
              <w:jc w:val="center"/>
              <w:rPr>
                <w:rFonts w:cs="Arial"/>
                <w:sz w:val="22"/>
                <w:szCs w:val="22"/>
              </w:rPr>
            </w:pPr>
            <w:r w:rsidRPr="00485C33">
              <w:rPr>
                <w:rFonts w:cs="Arial"/>
                <w:sz w:val="22"/>
                <w:szCs w:val="22"/>
              </w:rPr>
              <w:t>Условные обозначения:</w:t>
            </w:r>
          </w:p>
        </w:tc>
      </w:tr>
      <w:tr w:rsidR="006228E4" w:rsidRPr="00485C33" w:rsidTr="005D48BD">
        <w:trPr>
          <w:jc w:val="center"/>
        </w:trPr>
        <w:tc>
          <w:tcPr>
            <w:tcW w:w="636" w:type="dxa"/>
          </w:tcPr>
          <w:p w:rsidR="006228E4" w:rsidRPr="00485C33" w:rsidRDefault="006228E4" w:rsidP="006228E4">
            <w:pPr>
              <w:autoSpaceDE w:val="0"/>
              <w:autoSpaceDN w:val="0"/>
              <w:spacing w:after="0" w:line="360" w:lineRule="exact"/>
              <w:ind w:right="113"/>
              <w:jc w:val="right"/>
              <w:rPr>
                <w:rFonts w:ascii="Arial" w:eastAsia="Times New Roman" w:hAnsi="Arial" w:cs="Arial"/>
              </w:rPr>
            </w:pPr>
            <w:r>
              <w:rPr>
                <w:rFonts w:ascii="Arial" w:eastAsia="Times New Roman" w:hAnsi="Arial" w:cs="Arial"/>
              </w:rPr>
              <w:t>–</w:t>
            </w:r>
          </w:p>
        </w:tc>
        <w:tc>
          <w:tcPr>
            <w:tcW w:w="2978" w:type="dxa"/>
          </w:tcPr>
          <w:p w:rsidR="006228E4" w:rsidRPr="00485C33" w:rsidRDefault="006228E4" w:rsidP="006228E4">
            <w:pPr>
              <w:pStyle w:val="a5"/>
              <w:spacing w:line="360" w:lineRule="exact"/>
              <w:ind w:left="113"/>
              <w:rPr>
                <w:rFonts w:cs="Arial"/>
                <w:sz w:val="22"/>
                <w:szCs w:val="22"/>
              </w:rPr>
            </w:pPr>
            <w:r w:rsidRPr="00485C33">
              <w:rPr>
                <w:rFonts w:cs="Arial"/>
                <w:sz w:val="22"/>
                <w:szCs w:val="22"/>
              </w:rPr>
              <w:t>явление отсутствует</w:t>
            </w:r>
          </w:p>
        </w:tc>
      </w:tr>
      <w:tr w:rsidR="006228E4" w:rsidRPr="00485C33" w:rsidTr="005D48BD">
        <w:trPr>
          <w:jc w:val="center"/>
        </w:trPr>
        <w:tc>
          <w:tcPr>
            <w:tcW w:w="636" w:type="dxa"/>
          </w:tcPr>
          <w:p w:rsidR="006228E4" w:rsidRPr="00485C33" w:rsidRDefault="006228E4" w:rsidP="006228E4">
            <w:pPr>
              <w:autoSpaceDE w:val="0"/>
              <w:autoSpaceDN w:val="0"/>
              <w:spacing w:after="0" w:line="360" w:lineRule="exact"/>
              <w:ind w:right="113"/>
              <w:jc w:val="right"/>
              <w:rPr>
                <w:rFonts w:ascii="Arial" w:eastAsia="Times New Roman" w:hAnsi="Arial" w:cs="Arial"/>
              </w:rPr>
            </w:pPr>
            <w:r w:rsidRPr="00485C33">
              <w:rPr>
                <w:rFonts w:ascii="Arial" w:eastAsia="Times New Roman" w:hAnsi="Arial" w:cs="Arial"/>
              </w:rPr>
              <w:t>0,0</w:t>
            </w:r>
          </w:p>
        </w:tc>
        <w:tc>
          <w:tcPr>
            <w:tcW w:w="2978" w:type="dxa"/>
          </w:tcPr>
          <w:p w:rsidR="006228E4" w:rsidRPr="00485C33" w:rsidRDefault="006228E4" w:rsidP="006228E4">
            <w:pPr>
              <w:autoSpaceDE w:val="0"/>
              <w:autoSpaceDN w:val="0"/>
              <w:spacing w:after="0" w:line="360" w:lineRule="exact"/>
              <w:ind w:left="113"/>
              <w:rPr>
                <w:rFonts w:ascii="Arial" w:eastAsia="Times New Roman" w:hAnsi="Arial" w:cs="Arial"/>
              </w:rPr>
            </w:pPr>
            <w:r w:rsidRPr="00485C33">
              <w:rPr>
                <w:rFonts w:ascii="Arial" w:eastAsia="Times New Roman" w:hAnsi="Arial" w:cs="Arial"/>
              </w:rPr>
              <w:t>небольшая величина</w:t>
            </w:r>
          </w:p>
        </w:tc>
      </w:tr>
    </w:tbl>
    <w:p w:rsidR="006228E4" w:rsidRDefault="006228E4" w:rsidP="006228E4">
      <w:pPr>
        <w:tabs>
          <w:tab w:val="left" w:pos="426"/>
        </w:tabs>
        <w:spacing w:after="0"/>
        <w:jc w:val="center"/>
        <w:rPr>
          <w:rFonts w:ascii="Calibri" w:eastAsia="Times New Roman" w:hAnsi="Calibri" w:cs="Times New Roman"/>
          <w:sz w:val="24"/>
          <w:lang w:val="en-US"/>
        </w:rPr>
      </w:pPr>
    </w:p>
    <w:p w:rsidR="006228E4" w:rsidRPr="004009DF" w:rsidRDefault="006228E4" w:rsidP="006228E4">
      <w:pPr>
        <w:tabs>
          <w:tab w:val="left" w:pos="426"/>
        </w:tabs>
        <w:spacing w:after="0"/>
        <w:jc w:val="center"/>
        <w:rPr>
          <w:rFonts w:ascii="Calibri" w:eastAsia="Times New Roman" w:hAnsi="Calibri" w:cs="Times New Roman"/>
          <w:sz w:val="24"/>
          <w:lang w:val="en-US"/>
        </w:rPr>
      </w:pPr>
    </w:p>
    <w:p w:rsidR="006228E4" w:rsidRDefault="006228E4" w:rsidP="006228E4">
      <w:pPr>
        <w:tabs>
          <w:tab w:val="left" w:pos="426"/>
        </w:tabs>
        <w:spacing w:after="0"/>
        <w:jc w:val="center"/>
        <w:rPr>
          <w:rFonts w:ascii="Calibri" w:eastAsia="Times New Roman" w:hAnsi="Calibri" w:cs="Times New Roman"/>
          <w:sz w:val="24"/>
        </w:rPr>
      </w:pPr>
    </w:p>
    <w:p w:rsidR="006228E4" w:rsidRPr="00610478" w:rsidRDefault="006228E4" w:rsidP="006228E4">
      <w:pPr>
        <w:jc w:val="center"/>
        <w:rPr>
          <w:rFonts w:ascii="Arial" w:eastAsia="Times New Roman" w:hAnsi="Arial" w:cs="Arial"/>
          <w:b/>
          <w:bCs/>
          <w:i/>
          <w:lang w:val="en-US"/>
        </w:rPr>
      </w:pPr>
      <w:r>
        <w:rPr>
          <w:rFonts w:ascii="Arial" w:eastAsia="Times New Roman" w:hAnsi="Arial" w:cs="Arial"/>
          <w:b/>
          <w:bCs/>
          <w:i/>
          <w:lang w:val="en-US"/>
        </w:rPr>
        <w:t>FOREWORD</w:t>
      </w:r>
    </w:p>
    <w:p w:rsidR="006228E4" w:rsidRPr="00E92FE9" w:rsidRDefault="006228E4" w:rsidP="006228E4">
      <w:pPr>
        <w:spacing w:after="0" w:line="300" w:lineRule="exact"/>
        <w:ind w:firstLine="709"/>
        <w:jc w:val="both"/>
        <w:rPr>
          <w:rFonts w:ascii="Arial" w:eastAsia="Times New Roman" w:hAnsi="Arial" w:cs="Arial"/>
          <w:i/>
          <w:lang w:val="en-US"/>
        </w:rPr>
      </w:pPr>
      <w:r>
        <w:rPr>
          <w:rFonts w:ascii="Arial" w:eastAsia="Times New Roman" w:hAnsi="Arial" w:cs="Arial"/>
          <w:i/>
          <w:lang w:val="en-US"/>
        </w:rPr>
        <w:t>The statistical book presents commodity supply balances of the Republic of Belarus in physical terms which reflect the movement of goods (products) from the moment of production up to the moment of their end use</w:t>
      </w:r>
      <w:r w:rsidRPr="00E92FE9">
        <w:rPr>
          <w:rFonts w:ascii="Arial" w:eastAsia="Times New Roman" w:hAnsi="Arial" w:cs="Arial"/>
          <w:i/>
          <w:lang w:val="en-US"/>
        </w:rPr>
        <w:t xml:space="preserve">. </w:t>
      </w:r>
      <w:r>
        <w:rPr>
          <w:rFonts w:ascii="Arial" w:eastAsia="Times New Roman" w:hAnsi="Arial" w:cs="Arial"/>
          <w:i/>
          <w:lang w:val="en-US"/>
        </w:rPr>
        <w:t>It contains information on the sources and uses of selected commodities</w:t>
      </w:r>
      <w:r w:rsidRPr="00E92FE9">
        <w:rPr>
          <w:rFonts w:ascii="Arial" w:eastAsia="Times New Roman" w:hAnsi="Arial" w:cs="Arial"/>
          <w:i/>
          <w:lang w:val="en-US"/>
        </w:rPr>
        <w:t>.</w:t>
      </w:r>
    </w:p>
    <w:p w:rsidR="006228E4" w:rsidRPr="00E92FE9" w:rsidRDefault="006228E4" w:rsidP="006228E4">
      <w:pPr>
        <w:spacing w:after="0" w:line="300" w:lineRule="exact"/>
        <w:ind w:firstLine="709"/>
        <w:jc w:val="both"/>
        <w:rPr>
          <w:rFonts w:ascii="Arial" w:eastAsia="Times New Roman" w:hAnsi="Arial" w:cs="Arial"/>
          <w:i/>
          <w:lang w:val="en-US"/>
        </w:rPr>
      </w:pPr>
      <w:r>
        <w:rPr>
          <w:rFonts w:ascii="Arial" w:eastAsia="Times New Roman" w:hAnsi="Arial" w:cs="Arial"/>
          <w:i/>
          <w:lang w:val="en-US"/>
        </w:rPr>
        <w:t>The book provides methodological explanations for selected statistical indicators</w:t>
      </w:r>
      <w:r w:rsidRPr="00E92FE9">
        <w:rPr>
          <w:rFonts w:ascii="Arial" w:eastAsia="Times New Roman" w:hAnsi="Arial" w:cs="Arial"/>
          <w:i/>
          <w:lang w:val="en-US"/>
        </w:rPr>
        <w:t>.</w:t>
      </w:r>
    </w:p>
    <w:p w:rsidR="006228E4" w:rsidRPr="00E92FE9" w:rsidRDefault="006228E4" w:rsidP="006228E4">
      <w:pPr>
        <w:spacing w:after="0" w:line="300" w:lineRule="exact"/>
        <w:ind w:firstLine="709"/>
        <w:jc w:val="both"/>
        <w:rPr>
          <w:rFonts w:ascii="Arial" w:eastAsia="Times New Roman" w:hAnsi="Arial" w:cs="Arial"/>
          <w:i/>
          <w:lang w:val="en-US"/>
        </w:rPr>
      </w:pPr>
      <w:r>
        <w:rPr>
          <w:rFonts w:ascii="Arial" w:eastAsia="Times New Roman" w:hAnsi="Arial" w:cs="Arial"/>
          <w:i/>
          <w:lang w:val="en-US"/>
        </w:rPr>
        <w:t>For some indicators data for 2014 have been revised compared to those published previously; in a number of cases data for 2015 are preliminary</w:t>
      </w:r>
      <w:r w:rsidRPr="00E92FE9">
        <w:rPr>
          <w:rFonts w:ascii="Arial" w:eastAsia="Times New Roman" w:hAnsi="Arial" w:cs="Arial"/>
          <w:i/>
          <w:lang w:val="en-US"/>
        </w:rPr>
        <w:t xml:space="preserve">. </w:t>
      </w:r>
    </w:p>
    <w:p w:rsidR="006228E4" w:rsidRPr="00E92FE9" w:rsidRDefault="006228E4" w:rsidP="006228E4">
      <w:pPr>
        <w:pStyle w:val="2"/>
        <w:widowControl w:val="0"/>
        <w:autoSpaceDE w:val="0"/>
        <w:autoSpaceDN w:val="0"/>
        <w:adjustRightInd w:val="0"/>
        <w:spacing w:after="0" w:line="300" w:lineRule="exact"/>
        <w:ind w:firstLine="709"/>
        <w:jc w:val="both"/>
        <w:rPr>
          <w:rFonts w:ascii="Arial" w:hAnsi="Arial" w:cs="Arial"/>
          <w:i/>
          <w:sz w:val="22"/>
          <w:szCs w:val="22"/>
          <w:lang w:val="en-US"/>
        </w:rPr>
      </w:pPr>
      <w:r>
        <w:rPr>
          <w:rFonts w:ascii="Arial" w:hAnsi="Arial" w:cs="Arial"/>
          <w:i/>
          <w:sz w:val="22"/>
          <w:szCs w:val="22"/>
          <w:lang w:val="en-US"/>
        </w:rPr>
        <w:t>In certain cases minor discrepancy between the total and the sum of its components is explained by data rounding</w:t>
      </w:r>
      <w:r w:rsidR="00A25F6E">
        <w:rPr>
          <w:rFonts w:ascii="Arial" w:hAnsi="Arial" w:cs="Arial"/>
          <w:i/>
          <w:sz w:val="22"/>
          <w:szCs w:val="22"/>
          <w:lang w:val="en-US"/>
        </w:rPr>
        <w:t>.</w:t>
      </w:r>
    </w:p>
    <w:p w:rsidR="006228E4" w:rsidRPr="00E92FE9" w:rsidRDefault="006228E4" w:rsidP="006228E4">
      <w:pPr>
        <w:spacing w:after="0" w:line="300" w:lineRule="exact"/>
        <w:ind w:firstLine="709"/>
        <w:jc w:val="both"/>
        <w:rPr>
          <w:rFonts w:ascii="Arial" w:eastAsia="Times New Roman" w:hAnsi="Arial" w:cs="Arial"/>
          <w:i/>
          <w:lang w:val="en-US"/>
        </w:rPr>
      </w:pPr>
    </w:p>
    <w:p w:rsidR="006228E4" w:rsidRPr="00E92FE9" w:rsidRDefault="006228E4" w:rsidP="006228E4">
      <w:pPr>
        <w:pStyle w:val="a3"/>
        <w:ind w:left="851"/>
        <w:jc w:val="left"/>
        <w:rPr>
          <w:b w:val="0"/>
          <w:i/>
          <w:lang w:val="en-US"/>
        </w:rPr>
      </w:pPr>
    </w:p>
    <w:p w:rsidR="006228E4" w:rsidRPr="00E92FE9" w:rsidRDefault="006228E4" w:rsidP="006228E4">
      <w:pPr>
        <w:tabs>
          <w:tab w:val="left" w:pos="426"/>
        </w:tabs>
        <w:spacing w:after="0"/>
        <w:jc w:val="both"/>
        <w:rPr>
          <w:rFonts w:ascii="Calibri" w:eastAsia="Times New Roman" w:hAnsi="Calibri" w:cs="Times New Roman"/>
          <w:i/>
          <w:lang w:val="en-US"/>
        </w:rPr>
      </w:pPr>
    </w:p>
    <w:tbl>
      <w:tblPr>
        <w:tblW w:w="0" w:type="auto"/>
        <w:jc w:val="center"/>
        <w:tblInd w:w="322" w:type="dxa"/>
        <w:tblLayout w:type="fixed"/>
        <w:tblLook w:val="0000"/>
      </w:tblPr>
      <w:tblGrid>
        <w:gridCol w:w="636"/>
        <w:gridCol w:w="2978"/>
      </w:tblGrid>
      <w:tr w:rsidR="006228E4" w:rsidRPr="00610478" w:rsidTr="005D48BD">
        <w:trPr>
          <w:trHeight w:val="437"/>
          <w:jc w:val="center"/>
        </w:trPr>
        <w:tc>
          <w:tcPr>
            <w:tcW w:w="3614" w:type="dxa"/>
            <w:gridSpan w:val="2"/>
          </w:tcPr>
          <w:p w:rsidR="006228E4" w:rsidRPr="00610478" w:rsidRDefault="006228E4" w:rsidP="006228E4">
            <w:pPr>
              <w:pStyle w:val="a5"/>
              <w:spacing w:line="240" w:lineRule="exact"/>
              <w:jc w:val="center"/>
              <w:rPr>
                <w:rFonts w:cs="Arial"/>
                <w:i/>
                <w:sz w:val="22"/>
                <w:szCs w:val="22"/>
              </w:rPr>
            </w:pPr>
            <w:r>
              <w:rPr>
                <w:rFonts w:cs="Arial"/>
                <w:i/>
                <w:sz w:val="22"/>
                <w:szCs w:val="22"/>
                <w:lang w:val="en-US"/>
              </w:rPr>
              <w:t>Explanation of symbols</w:t>
            </w:r>
            <w:r w:rsidRPr="00610478">
              <w:rPr>
                <w:rFonts w:cs="Arial"/>
                <w:i/>
                <w:sz w:val="22"/>
                <w:szCs w:val="22"/>
              </w:rPr>
              <w:t>:</w:t>
            </w:r>
          </w:p>
        </w:tc>
      </w:tr>
      <w:tr w:rsidR="006228E4" w:rsidRPr="00610478" w:rsidTr="005D48BD">
        <w:trPr>
          <w:jc w:val="center"/>
        </w:trPr>
        <w:tc>
          <w:tcPr>
            <w:tcW w:w="636" w:type="dxa"/>
          </w:tcPr>
          <w:p w:rsidR="006228E4" w:rsidRPr="00610478" w:rsidRDefault="006228E4" w:rsidP="006228E4">
            <w:pPr>
              <w:autoSpaceDE w:val="0"/>
              <w:autoSpaceDN w:val="0"/>
              <w:spacing w:after="0" w:line="360" w:lineRule="exact"/>
              <w:ind w:right="113"/>
              <w:jc w:val="right"/>
              <w:rPr>
                <w:rFonts w:ascii="Arial" w:eastAsia="Times New Roman" w:hAnsi="Arial" w:cs="Arial"/>
                <w:i/>
              </w:rPr>
            </w:pPr>
            <w:r w:rsidRPr="00610478">
              <w:rPr>
                <w:rFonts w:ascii="Arial" w:eastAsia="Times New Roman" w:hAnsi="Arial" w:cs="Arial"/>
                <w:i/>
              </w:rPr>
              <w:t>–</w:t>
            </w:r>
          </w:p>
        </w:tc>
        <w:tc>
          <w:tcPr>
            <w:tcW w:w="2978" w:type="dxa"/>
          </w:tcPr>
          <w:p w:rsidR="006228E4" w:rsidRPr="00610478" w:rsidRDefault="006228E4" w:rsidP="006228E4">
            <w:pPr>
              <w:pStyle w:val="a5"/>
              <w:spacing w:line="360" w:lineRule="exact"/>
              <w:ind w:left="113"/>
              <w:rPr>
                <w:rFonts w:cs="Arial"/>
                <w:i/>
                <w:sz w:val="22"/>
                <w:szCs w:val="22"/>
                <w:lang w:val="en-US"/>
              </w:rPr>
            </w:pPr>
            <w:r>
              <w:rPr>
                <w:rFonts w:cs="Arial"/>
                <w:i/>
                <w:sz w:val="22"/>
                <w:szCs w:val="22"/>
                <w:lang w:val="en-US"/>
              </w:rPr>
              <w:t>not applicable</w:t>
            </w:r>
          </w:p>
        </w:tc>
      </w:tr>
      <w:tr w:rsidR="006228E4" w:rsidRPr="00610478" w:rsidTr="005D48BD">
        <w:trPr>
          <w:jc w:val="center"/>
        </w:trPr>
        <w:tc>
          <w:tcPr>
            <w:tcW w:w="636" w:type="dxa"/>
          </w:tcPr>
          <w:p w:rsidR="006228E4" w:rsidRPr="00610478" w:rsidRDefault="006228E4" w:rsidP="006228E4">
            <w:pPr>
              <w:autoSpaceDE w:val="0"/>
              <w:autoSpaceDN w:val="0"/>
              <w:spacing w:after="0" w:line="360" w:lineRule="exact"/>
              <w:ind w:right="113"/>
              <w:jc w:val="right"/>
              <w:rPr>
                <w:rFonts w:ascii="Arial" w:eastAsia="Times New Roman" w:hAnsi="Arial" w:cs="Arial"/>
                <w:i/>
              </w:rPr>
            </w:pPr>
            <w:r w:rsidRPr="00610478">
              <w:rPr>
                <w:rFonts w:ascii="Arial" w:eastAsia="Times New Roman" w:hAnsi="Arial" w:cs="Arial"/>
                <w:i/>
              </w:rPr>
              <w:t>0,0</w:t>
            </w:r>
          </w:p>
        </w:tc>
        <w:tc>
          <w:tcPr>
            <w:tcW w:w="2978" w:type="dxa"/>
          </w:tcPr>
          <w:p w:rsidR="006228E4" w:rsidRPr="00610478" w:rsidRDefault="006228E4" w:rsidP="006228E4">
            <w:pPr>
              <w:autoSpaceDE w:val="0"/>
              <w:autoSpaceDN w:val="0"/>
              <w:spacing w:after="0" w:line="360" w:lineRule="exact"/>
              <w:ind w:left="113"/>
              <w:rPr>
                <w:rFonts w:ascii="Arial" w:eastAsia="Times New Roman" w:hAnsi="Arial" w:cs="Arial"/>
                <w:i/>
                <w:lang w:val="en-US"/>
              </w:rPr>
            </w:pPr>
            <w:r>
              <w:rPr>
                <w:rFonts w:ascii="Arial" w:eastAsia="Times New Roman" w:hAnsi="Arial" w:cs="Arial"/>
                <w:i/>
                <w:lang w:val="en-US"/>
              </w:rPr>
              <w:t>negligible magnitude</w:t>
            </w:r>
          </w:p>
        </w:tc>
      </w:tr>
    </w:tbl>
    <w:p w:rsidR="00CC1742" w:rsidRPr="006228E4" w:rsidRDefault="00CC1742" w:rsidP="006228E4">
      <w:pPr>
        <w:spacing w:after="0"/>
      </w:pPr>
    </w:p>
    <w:sectPr w:rsidR="00CC1742" w:rsidRPr="006228E4" w:rsidSect="006228E4">
      <w:pgSz w:w="11906" w:h="16838"/>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28E4"/>
    <w:rsid w:val="006228E4"/>
    <w:rsid w:val="009E78FE"/>
    <w:rsid w:val="00A25F6E"/>
    <w:rsid w:val="00CC1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8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6228E4"/>
    <w:pPr>
      <w:spacing w:after="0" w:line="240" w:lineRule="auto"/>
      <w:jc w:val="center"/>
    </w:pPr>
    <w:rPr>
      <w:rFonts w:ascii="Times New Roman" w:eastAsia="Times New Roman" w:hAnsi="Times New Roman" w:cs="Times New Roman"/>
      <w:b/>
      <w:sz w:val="24"/>
      <w:szCs w:val="20"/>
    </w:rPr>
  </w:style>
  <w:style w:type="character" w:customStyle="1" w:styleId="a4">
    <w:name w:val="Подзаголовок Знак"/>
    <w:basedOn w:val="a0"/>
    <w:link w:val="a3"/>
    <w:rsid w:val="006228E4"/>
    <w:rPr>
      <w:rFonts w:ascii="Times New Roman" w:eastAsia="Times New Roman" w:hAnsi="Times New Roman" w:cs="Times New Roman"/>
      <w:b/>
      <w:sz w:val="24"/>
      <w:szCs w:val="20"/>
    </w:rPr>
  </w:style>
  <w:style w:type="paragraph" w:styleId="2">
    <w:name w:val="Body Text 2"/>
    <w:basedOn w:val="a"/>
    <w:link w:val="20"/>
    <w:rsid w:val="006228E4"/>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6228E4"/>
    <w:rPr>
      <w:rFonts w:ascii="Times New Roman" w:eastAsia="Times New Roman" w:hAnsi="Times New Roman" w:cs="Times New Roman"/>
      <w:sz w:val="20"/>
      <w:szCs w:val="20"/>
    </w:rPr>
  </w:style>
  <w:style w:type="paragraph" w:styleId="a5">
    <w:name w:val="annotation text"/>
    <w:basedOn w:val="a"/>
    <w:link w:val="a6"/>
    <w:semiHidden/>
    <w:rsid w:val="006228E4"/>
    <w:pPr>
      <w:spacing w:after="0" w:line="240" w:lineRule="auto"/>
    </w:pPr>
    <w:rPr>
      <w:rFonts w:ascii="Arial" w:eastAsia="Times New Roman" w:hAnsi="Arial" w:cs="Times New Roman"/>
      <w:sz w:val="20"/>
      <w:szCs w:val="20"/>
    </w:rPr>
  </w:style>
  <w:style w:type="character" w:customStyle="1" w:styleId="a6">
    <w:name w:val="Текст примечания Знак"/>
    <w:basedOn w:val="a0"/>
    <w:link w:val="a5"/>
    <w:semiHidden/>
    <w:rsid w:val="006228E4"/>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1254</Characters>
  <Application>Microsoft Office Word</Application>
  <DocSecurity>0</DocSecurity>
  <Lines>10</Lines>
  <Paragraphs>2</Paragraphs>
  <ScaleCrop>false</ScaleCrop>
  <Company>belstat</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artem.hinevich</dc:creator>
  <cp:keywords/>
  <dc:description/>
  <cp:lastModifiedBy>artem.hinevich</cp:lastModifiedBy>
  <cp:revision>3</cp:revision>
  <dcterms:created xsi:type="dcterms:W3CDTF">2016-08-10T11:54:00Z</dcterms:created>
  <dcterms:modified xsi:type="dcterms:W3CDTF">2016-08-10T11:57:00Z</dcterms:modified>
</cp:coreProperties>
</file>