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CC0B3E">
      <w:pPr>
        <w:pStyle w:val="aa"/>
        <w:spacing w:before="120" w:after="120" w:line="260" w:lineRule="exact"/>
        <w:rPr>
          <w:sz w:val="26"/>
          <w:szCs w:val="26"/>
        </w:rPr>
      </w:pPr>
      <w:r>
        <w:rPr>
          <w:sz w:val="26"/>
          <w:szCs w:val="26"/>
        </w:rPr>
        <w:t>9</w:t>
      </w:r>
      <w:r w:rsidR="00DC4FCE" w:rsidRPr="007D6256">
        <w:rPr>
          <w:sz w:val="26"/>
          <w:szCs w:val="26"/>
        </w:rPr>
        <w:t>. ПЛАТНЫЕ</w:t>
      </w:r>
      <w:r w:rsidR="00DC4FCE" w:rsidRPr="001B505F">
        <w:rPr>
          <w:sz w:val="26"/>
          <w:szCs w:val="26"/>
        </w:rPr>
        <w:t xml:space="preserve"> УСЛУГИ НАСЕЛЕНИЮ</w:t>
      </w:r>
    </w:p>
    <w:p w:rsidR="00220761" w:rsidRPr="0081728A" w:rsidRDefault="00220761" w:rsidP="00CC0B3E">
      <w:pPr>
        <w:spacing w:before="240" w:line="340" w:lineRule="exact"/>
        <w:ind w:firstLine="709"/>
        <w:jc w:val="both"/>
        <w:rPr>
          <w:sz w:val="26"/>
        </w:rPr>
      </w:pPr>
      <w:r w:rsidRPr="00716295">
        <w:rPr>
          <w:b/>
          <w:sz w:val="26"/>
        </w:rPr>
        <w:t>Объем платных услуг населению</w:t>
      </w:r>
      <w:r>
        <w:rPr>
          <w:sz w:val="26"/>
        </w:rPr>
        <w:t xml:space="preserve"> </w:t>
      </w:r>
      <w:r w:rsidR="00EF3B46" w:rsidRPr="00F93520">
        <w:rPr>
          <w:spacing w:val="-6"/>
          <w:sz w:val="26"/>
          <w:szCs w:val="26"/>
        </w:rPr>
        <w:t xml:space="preserve">в </w:t>
      </w:r>
      <w:r w:rsidR="00EF3B46">
        <w:rPr>
          <w:spacing w:val="-6"/>
          <w:sz w:val="26"/>
          <w:szCs w:val="26"/>
          <w:lang w:val="en-US"/>
        </w:rPr>
        <w:t>I</w:t>
      </w:r>
      <w:r w:rsidR="00EF3B46">
        <w:rPr>
          <w:spacing w:val="-6"/>
          <w:sz w:val="26"/>
          <w:szCs w:val="26"/>
        </w:rPr>
        <w:t xml:space="preserve"> квартале</w:t>
      </w:r>
      <w:r>
        <w:rPr>
          <w:sz w:val="26"/>
        </w:rPr>
        <w:t xml:space="preserve"> 20</w:t>
      </w:r>
      <w:r w:rsidR="00CA13F3">
        <w:rPr>
          <w:sz w:val="26"/>
        </w:rPr>
        <w:t>2</w:t>
      </w:r>
      <w:r w:rsidR="00EF3B46">
        <w:rPr>
          <w:sz w:val="26"/>
        </w:rPr>
        <w:t>1 </w:t>
      </w:r>
      <w:r w:rsidR="00A033B4">
        <w:rPr>
          <w:sz w:val="26"/>
        </w:rPr>
        <w:t>г</w:t>
      </w:r>
      <w:r w:rsidR="00EF3B46">
        <w:rPr>
          <w:sz w:val="26"/>
        </w:rPr>
        <w:t>.</w:t>
      </w:r>
      <w:r>
        <w:rPr>
          <w:sz w:val="26"/>
        </w:rPr>
        <w:t xml:space="preserve"> составил </w:t>
      </w:r>
      <w:r w:rsidR="00BB4DC4" w:rsidRPr="00BB4DC4">
        <w:rPr>
          <w:sz w:val="26"/>
        </w:rPr>
        <w:t>3,6</w:t>
      </w:r>
      <w:r w:rsidRPr="00BB4DC4">
        <w:rPr>
          <w:sz w:val="26"/>
        </w:rPr>
        <w:t xml:space="preserve"> </w:t>
      </w:r>
      <w:r w:rsidRPr="00BB4DC4">
        <w:rPr>
          <w:bCs/>
          <w:sz w:val="26"/>
          <w:szCs w:val="26"/>
        </w:rPr>
        <w:t>млрд.</w:t>
      </w:r>
      <w:r>
        <w:rPr>
          <w:bCs/>
          <w:color w:val="FF0000"/>
          <w:sz w:val="26"/>
          <w:szCs w:val="26"/>
        </w:rPr>
        <w:t xml:space="preserve"> </w:t>
      </w:r>
      <w:r>
        <w:rPr>
          <w:sz w:val="26"/>
        </w:rPr>
        <w:t xml:space="preserve">рублей, </w:t>
      </w:r>
      <w:r w:rsidRPr="0081728A">
        <w:rPr>
          <w:sz w:val="26"/>
        </w:rPr>
        <w:t xml:space="preserve">или в сопоставимых ценах </w:t>
      </w:r>
      <w:r w:rsidR="00BB4DC4" w:rsidRPr="00BB4DC4">
        <w:rPr>
          <w:sz w:val="26"/>
        </w:rPr>
        <w:t>99,5</w:t>
      </w:r>
      <w:r w:rsidRPr="00BB4DC4">
        <w:rPr>
          <w:sz w:val="26"/>
        </w:rPr>
        <w:t>%</w:t>
      </w:r>
      <w:r w:rsidRPr="0081728A">
        <w:rPr>
          <w:sz w:val="26"/>
        </w:rPr>
        <w:t xml:space="preserve"> </w:t>
      </w:r>
      <w:r w:rsidR="00EF3B46" w:rsidRPr="00F93520">
        <w:rPr>
          <w:sz w:val="26"/>
          <w:szCs w:val="26"/>
        </w:rPr>
        <w:t xml:space="preserve">к уровню </w:t>
      </w:r>
      <w:r w:rsidR="00EF3B46">
        <w:rPr>
          <w:spacing w:val="-6"/>
          <w:sz w:val="26"/>
          <w:szCs w:val="26"/>
          <w:lang w:val="en-US"/>
        </w:rPr>
        <w:t>I</w:t>
      </w:r>
      <w:r w:rsidR="00EF3B46">
        <w:rPr>
          <w:spacing w:val="-6"/>
          <w:sz w:val="26"/>
          <w:szCs w:val="26"/>
        </w:rPr>
        <w:t xml:space="preserve"> квартала </w:t>
      </w:r>
      <w:r w:rsidR="00EF3B46" w:rsidRPr="00F93520">
        <w:rPr>
          <w:sz w:val="26"/>
          <w:szCs w:val="26"/>
        </w:rPr>
        <w:t>20</w:t>
      </w:r>
      <w:r w:rsidR="00EF3B46">
        <w:rPr>
          <w:sz w:val="26"/>
          <w:szCs w:val="26"/>
        </w:rPr>
        <w:t>20</w:t>
      </w:r>
      <w:r w:rsidR="00EF3B46" w:rsidRPr="00F93520">
        <w:rPr>
          <w:sz w:val="26"/>
          <w:szCs w:val="26"/>
        </w:rPr>
        <w:t xml:space="preserve"> г.</w:t>
      </w:r>
    </w:p>
    <w:p w:rsidR="003578A7" w:rsidRPr="00F0491C" w:rsidRDefault="003578A7" w:rsidP="00CC0B3E">
      <w:pPr>
        <w:pStyle w:val="a3"/>
        <w:tabs>
          <w:tab w:val="left" w:pos="708"/>
        </w:tabs>
        <w:spacing w:before="240" w:after="60" w:line="260" w:lineRule="exact"/>
        <w:jc w:val="center"/>
        <w:rPr>
          <w:rFonts w:ascii="Arial" w:hAnsi="Arial" w:cs="Arial"/>
          <w:b/>
          <w:sz w:val="22"/>
          <w:szCs w:val="22"/>
        </w:rPr>
      </w:pPr>
      <w:bookmarkStart w:id="0" w:name="_GoBack"/>
      <w:bookmarkEnd w:id="0"/>
      <w:r>
        <w:rPr>
          <w:rFonts w:ascii="Arial" w:hAnsi="Arial" w:cs="Arial"/>
          <w:b/>
          <w:sz w:val="22"/>
          <w:szCs w:val="22"/>
        </w:rPr>
        <w:t>Платные услуги населению</w:t>
      </w:r>
    </w:p>
    <w:p w:rsidR="003578A7" w:rsidRDefault="003578A7" w:rsidP="00CC0B3E">
      <w:pPr>
        <w:pStyle w:val="a3"/>
        <w:tabs>
          <w:tab w:val="left" w:pos="708"/>
        </w:tabs>
        <w:spacing w:before="60" w:after="60" w:line="26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0677EE" w:rsidRDefault="008610E3" w:rsidP="000677EE">
      <w:pPr>
        <w:rPr>
          <w:sz w:val="2"/>
          <w:szCs w:val="2"/>
        </w:rPr>
      </w:pPr>
      <w:r>
        <w:pict>
          <v:group id="_x0000_s1033" style="position:absolute;margin-left:157.9pt;margin-top:151.05pt;width:342.4pt;height:17.55pt;z-index:251661312" coordorigin="5145,5033" coordsize="5323,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">
            <v:rect id="Rectangle 3" o:spid="_x0000_s1034" style="position:absolute;left:5145;top:5039;width:134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0677EE" w:rsidRDefault="000677EE" w:rsidP="000677EE">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w:t>
                    </w:r>
                    <w:r w:rsidR="00727574">
                      <w:rPr>
                        <w:rFonts w:ascii="Arial" w:hAnsi="Arial" w:cs="Arial"/>
                        <w:b/>
                        <w:color w:val="008000"/>
                        <w:sz w:val="18"/>
                        <w:szCs w:val="18"/>
                      </w:rPr>
                      <w:t>20</w:t>
                    </w:r>
                    <w:r>
                      <w:rPr>
                        <w:rFonts w:ascii="Arial" w:hAnsi="Arial" w:cs="Arial"/>
                        <w:b/>
                        <w:color w:val="008000"/>
                        <w:sz w:val="18"/>
                        <w:szCs w:val="18"/>
                      </w:rPr>
                      <w:t xml:space="preserve"> г.</w:t>
                    </w:r>
                  </w:p>
                </w:txbxContent>
              </v:textbox>
            </v:rect>
            <v:rect id="Rectangle 4" o:spid="_x0000_s1035" style="position:absolute;left:9333;top:5033;width:113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0677EE" w:rsidRDefault="000677EE" w:rsidP="000677EE">
                    <w:pPr>
                      <w:autoSpaceDE w:val="0"/>
                      <w:autoSpaceDN w:val="0"/>
                      <w:adjustRightInd w:val="0"/>
                      <w:rPr>
                        <w:rFonts w:ascii="Arial" w:hAnsi="Arial" w:cs="Arial"/>
                        <w:b/>
                        <w:color w:val="FF6600"/>
                        <w:sz w:val="18"/>
                        <w:szCs w:val="18"/>
                      </w:rPr>
                    </w:pPr>
                    <w:r>
                      <w:rPr>
                        <w:rFonts w:ascii="Arial" w:hAnsi="Arial" w:cs="Arial"/>
                        <w:b/>
                        <w:color w:val="FF6600"/>
                        <w:sz w:val="18"/>
                        <w:szCs w:val="18"/>
                      </w:rPr>
                      <w:t>202</w:t>
                    </w:r>
                    <w:r w:rsidR="00727574">
                      <w:rPr>
                        <w:rFonts w:ascii="Arial" w:hAnsi="Arial" w:cs="Arial"/>
                        <w:b/>
                        <w:color w:val="FF6600"/>
                        <w:sz w:val="18"/>
                        <w:szCs w:val="18"/>
                      </w:rPr>
                      <w:t>1</w:t>
                    </w:r>
                    <w:r>
                      <w:rPr>
                        <w:rFonts w:ascii="Arial" w:hAnsi="Arial" w:cs="Arial"/>
                        <w:b/>
                        <w:color w:val="FF6600"/>
                        <w:sz w:val="18"/>
                        <w:szCs w:val="18"/>
                        <w:lang w:val="en-US"/>
                      </w:rPr>
                      <w:t xml:space="preserve"> г.</w:t>
                    </w:r>
                  </w:p>
                </w:txbxContent>
              </v:textbox>
            </v:rect>
          </v:group>
        </w:pict>
      </w:r>
      <w:r w:rsidR="00DF26EC">
        <w:rPr>
          <w:i/>
          <w:noProof/>
        </w:rPr>
        <w:drawing>
          <wp:inline distT="0" distB="0" distL="0" distR="0" wp14:anchorId="7321A1BA" wp14:editId="6C464A6A">
            <wp:extent cx="5961888" cy="1982419"/>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677EE" w:rsidRDefault="000677EE" w:rsidP="003578A7">
      <w:pPr>
        <w:pStyle w:val="a3"/>
        <w:tabs>
          <w:tab w:val="left" w:pos="708"/>
        </w:tabs>
        <w:spacing w:before="40" w:after="40"/>
        <w:rPr>
          <w:rFonts w:ascii="Arial" w:hAnsi="Arial" w:cs="Arial"/>
          <w:bCs/>
          <w:i/>
          <w:iCs/>
        </w:rPr>
      </w:pPr>
    </w:p>
    <w:p w:rsidR="00E33B9F" w:rsidRDefault="00E33B9F" w:rsidP="00CC0B3E">
      <w:pPr>
        <w:pStyle w:val="20"/>
        <w:spacing w:before="240"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E33B9F" w:rsidRPr="00113BDF" w:rsidTr="00C71D86">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E33B9F" w:rsidRPr="00113BDF" w:rsidRDefault="00E33B9F" w:rsidP="00CC0B3E">
            <w:pPr>
              <w:spacing w:before="60" w:after="60" w:line="22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E33B9F" w:rsidRPr="00113BDF" w:rsidRDefault="00E33B9F" w:rsidP="00CC0B3E">
            <w:pPr>
              <w:tabs>
                <w:tab w:val="left" w:pos="1157"/>
              </w:tabs>
              <w:spacing w:before="60" w:after="60" w:line="220" w:lineRule="exact"/>
              <w:jc w:val="center"/>
              <w:rPr>
                <w:b/>
                <w:sz w:val="22"/>
                <w:szCs w:val="22"/>
              </w:rPr>
            </w:pPr>
            <w:r w:rsidRPr="00B35459">
              <w:rPr>
                <w:sz w:val="22"/>
                <w:szCs w:val="22"/>
              </w:rPr>
              <w:t>I квартал</w:t>
            </w:r>
            <w:r w:rsidRPr="00B35459">
              <w:rPr>
                <w:sz w:val="22"/>
                <w:szCs w:val="22"/>
              </w:rPr>
              <w:br/>
              <w:t>20</w:t>
            </w:r>
            <w:r>
              <w:rPr>
                <w:sz w:val="22"/>
                <w:szCs w:val="22"/>
              </w:rPr>
              <w:t>21</w:t>
            </w:r>
            <w:r w:rsidRPr="00B35459">
              <w:rPr>
                <w:sz w:val="22"/>
                <w:szCs w:val="22"/>
              </w:rPr>
              <w:t xml:space="preserve"> г., </w:t>
            </w:r>
            <w:r w:rsidRPr="00B35459">
              <w:rPr>
                <w:sz w:val="22"/>
                <w:szCs w:val="22"/>
              </w:rPr>
              <w:br/>
              <w:t>млн. руб.</w:t>
            </w:r>
            <w:r w:rsidRPr="00B35459">
              <w:rPr>
                <w:sz w:val="22"/>
                <w:szCs w:val="22"/>
              </w:rPr>
              <w:br/>
              <w:t xml:space="preserve">(в текущих </w:t>
            </w:r>
            <w:r w:rsidRPr="00B35459">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E33B9F" w:rsidRPr="00113BDF" w:rsidRDefault="00E33B9F" w:rsidP="00CC0B3E">
            <w:pPr>
              <w:tabs>
                <w:tab w:val="left" w:pos="1157"/>
              </w:tabs>
              <w:spacing w:before="60" w:after="60" w:line="220" w:lineRule="exact"/>
              <w:jc w:val="center"/>
              <w:rPr>
                <w:b/>
                <w:sz w:val="22"/>
                <w:szCs w:val="22"/>
              </w:rPr>
            </w:pPr>
            <w:r w:rsidRPr="00B35459">
              <w:rPr>
                <w:sz w:val="22"/>
                <w:szCs w:val="22"/>
              </w:rPr>
              <w:t>В сопоставимых ценах</w:t>
            </w:r>
          </w:p>
        </w:tc>
      </w:tr>
      <w:tr w:rsidR="00E33B9F" w:rsidRPr="00113BDF" w:rsidTr="00C71D86">
        <w:trPr>
          <w:cantSplit/>
          <w:trHeight w:val="838"/>
          <w:tblHeader/>
          <w:jc w:val="center"/>
        </w:trPr>
        <w:tc>
          <w:tcPr>
            <w:tcW w:w="2376" w:type="dxa"/>
            <w:vMerge/>
            <w:tcBorders>
              <w:top w:val="single" w:sz="4" w:space="0" w:color="auto"/>
              <w:left w:val="single" w:sz="4" w:space="0" w:color="auto"/>
              <w:right w:val="single" w:sz="4" w:space="0" w:color="auto"/>
            </w:tcBorders>
          </w:tcPr>
          <w:p w:rsidR="00E33B9F" w:rsidRPr="00113BDF" w:rsidRDefault="00E33B9F" w:rsidP="00CC0B3E">
            <w:pPr>
              <w:spacing w:before="60" w:after="60" w:line="220" w:lineRule="exact"/>
              <w:jc w:val="center"/>
              <w:rPr>
                <w:sz w:val="22"/>
                <w:szCs w:val="22"/>
              </w:rPr>
            </w:pPr>
          </w:p>
        </w:tc>
        <w:tc>
          <w:tcPr>
            <w:tcW w:w="2140" w:type="dxa"/>
            <w:vMerge/>
            <w:tcBorders>
              <w:top w:val="single" w:sz="4" w:space="0" w:color="auto"/>
              <w:left w:val="single" w:sz="4" w:space="0" w:color="auto"/>
              <w:right w:val="single" w:sz="4" w:space="0" w:color="auto"/>
            </w:tcBorders>
          </w:tcPr>
          <w:p w:rsidR="00E33B9F" w:rsidRPr="00113BDF" w:rsidRDefault="00E33B9F" w:rsidP="00CC0B3E">
            <w:pPr>
              <w:tabs>
                <w:tab w:val="left" w:pos="1157"/>
              </w:tabs>
              <w:spacing w:before="60" w:after="60" w:line="22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E33B9F" w:rsidRPr="00113BDF" w:rsidRDefault="00E33B9F" w:rsidP="00CC0B3E">
            <w:pPr>
              <w:tabs>
                <w:tab w:val="left" w:pos="1157"/>
              </w:tabs>
              <w:spacing w:before="60" w:after="60" w:line="220" w:lineRule="exact"/>
              <w:jc w:val="center"/>
              <w:rPr>
                <w:b/>
                <w:sz w:val="22"/>
                <w:szCs w:val="22"/>
              </w:rPr>
            </w:pPr>
            <w:r w:rsidRPr="00B35459">
              <w:rPr>
                <w:sz w:val="22"/>
                <w:szCs w:val="22"/>
              </w:rPr>
              <w:t>I квартал</w:t>
            </w:r>
            <w:r w:rsidRPr="00B35459">
              <w:rPr>
                <w:sz w:val="22"/>
                <w:szCs w:val="22"/>
              </w:rPr>
              <w:br/>
              <w:t>20</w:t>
            </w:r>
            <w:r>
              <w:rPr>
                <w:sz w:val="22"/>
                <w:szCs w:val="22"/>
              </w:rPr>
              <w:t>21</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к</w:t>
            </w:r>
            <w:r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Pr="00B35459">
              <w:rPr>
                <w:sz w:val="22"/>
                <w:szCs w:val="22"/>
              </w:rPr>
              <w:br/>
              <w:t>20</w:t>
            </w:r>
            <w:r>
              <w:rPr>
                <w:sz w:val="22"/>
                <w:szCs w:val="22"/>
              </w:rPr>
              <w:t>20</w:t>
            </w:r>
            <w:r w:rsidRPr="00B35459">
              <w:rPr>
                <w:sz w:val="22"/>
                <w:szCs w:val="22"/>
              </w:rPr>
              <w:t xml:space="preserve"> г. </w:t>
            </w:r>
            <w:r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E33B9F" w:rsidRPr="00B35459" w:rsidRDefault="00E33B9F" w:rsidP="00CC0B3E">
            <w:pPr>
              <w:tabs>
                <w:tab w:val="left" w:pos="1157"/>
              </w:tabs>
              <w:spacing w:before="60" w:after="60" w:line="220" w:lineRule="exact"/>
              <w:jc w:val="center"/>
              <w:rPr>
                <w:sz w:val="22"/>
                <w:szCs w:val="22"/>
                <w:u w:val="single"/>
              </w:rPr>
            </w:pPr>
            <w:r w:rsidRPr="00B35459">
              <w:rPr>
                <w:sz w:val="22"/>
                <w:szCs w:val="22"/>
                <w:u w:val="single"/>
              </w:rPr>
              <w:t>справочно</w:t>
            </w:r>
          </w:p>
          <w:p w:rsidR="00E33B9F" w:rsidRPr="00113BDF" w:rsidRDefault="00E33B9F" w:rsidP="00CC0B3E">
            <w:pPr>
              <w:tabs>
                <w:tab w:val="left" w:pos="891"/>
                <w:tab w:val="left" w:pos="1043"/>
              </w:tabs>
              <w:spacing w:before="60" w:after="60" w:line="220" w:lineRule="exact"/>
              <w:jc w:val="center"/>
              <w:rPr>
                <w:sz w:val="22"/>
                <w:szCs w:val="22"/>
              </w:rPr>
            </w:pPr>
            <w:r w:rsidRPr="00B35459">
              <w:rPr>
                <w:sz w:val="22"/>
                <w:szCs w:val="22"/>
              </w:rPr>
              <w:t>I квартал</w:t>
            </w:r>
            <w:r w:rsidRPr="00B35459">
              <w:rPr>
                <w:sz w:val="22"/>
                <w:szCs w:val="22"/>
              </w:rPr>
              <w:br/>
              <w:t>20</w:t>
            </w:r>
            <w:r>
              <w:rPr>
                <w:sz w:val="22"/>
                <w:szCs w:val="22"/>
              </w:rPr>
              <w:t>20</w:t>
            </w:r>
            <w:r w:rsidRPr="00B35459">
              <w:rPr>
                <w:sz w:val="22"/>
                <w:szCs w:val="22"/>
              </w:rPr>
              <w:t xml:space="preserve"> г.</w:t>
            </w:r>
            <w:r w:rsidRPr="00B35459">
              <w:rPr>
                <w:sz w:val="22"/>
                <w:szCs w:val="22"/>
              </w:rPr>
              <w:br/>
            </w:r>
            <w:proofErr w:type="gramStart"/>
            <w:r w:rsidRPr="00B35459">
              <w:rPr>
                <w:sz w:val="22"/>
                <w:szCs w:val="22"/>
              </w:rPr>
              <w:t>в</w:t>
            </w:r>
            <w:proofErr w:type="gramEnd"/>
            <w:r w:rsidRPr="00B35459">
              <w:rPr>
                <w:sz w:val="22"/>
                <w:szCs w:val="22"/>
              </w:rPr>
              <w:t xml:space="preserve"> % к</w:t>
            </w:r>
            <w:r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Pr="00B35459">
              <w:rPr>
                <w:sz w:val="22"/>
                <w:szCs w:val="22"/>
              </w:rPr>
              <w:br/>
              <w:t>201</w:t>
            </w:r>
            <w:r>
              <w:rPr>
                <w:sz w:val="22"/>
                <w:szCs w:val="22"/>
              </w:rPr>
              <w:t>9</w:t>
            </w:r>
            <w:r w:rsidRPr="00B35459">
              <w:rPr>
                <w:sz w:val="22"/>
                <w:szCs w:val="22"/>
              </w:rPr>
              <w:t xml:space="preserve"> г.</w:t>
            </w:r>
          </w:p>
        </w:tc>
      </w:tr>
      <w:tr w:rsidR="00CC159A" w:rsidRPr="00CC159A" w:rsidTr="00C71D86">
        <w:trPr>
          <w:jc w:val="center"/>
        </w:trPr>
        <w:tc>
          <w:tcPr>
            <w:tcW w:w="2376" w:type="dxa"/>
            <w:tcBorders>
              <w:top w:val="single" w:sz="4" w:space="0" w:color="auto"/>
              <w:left w:val="single" w:sz="4" w:space="0" w:color="auto"/>
              <w:right w:val="single" w:sz="4" w:space="0" w:color="auto"/>
            </w:tcBorders>
            <w:vAlign w:val="bottom"/>
          </w:tcPr>
          <w:p w:rsidR="00CC159A" w:rsidRPr="00CC159A" w:rsidRDefault="00CC159A" w:rsidP="00CC0B3E">
            <w:pPr>
              <w:spacing w:before="100" w:after="100" w:line="220" w:lineRule="exact"/>
              <w:ind w:left="-57" w:right="-70"/>
              <w:rPr>
                <w:b/>
                <w:sz w:val="22"/>
                <w:szCs w:val="22"/>
              </w:rPr>
            </w:pPr>
            <w:r w:rsidRPr="00CC159A">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b/>
                <w:sz w:val="22"/>
                <w:szCs w:val="22"/>
              </w:rPr>
            </w:pPr>
            <w:r w:rsidRPr="00CC159A">
              <w:rPr>
                <w:b/>
                <w:sz w:val="22"/>
                <w:szCs w:val="22"/>
              </w:rPr>
              <w:t>3</w:t>
            </w:r>
            <w:r>
              <w:rPr>
                <w:b/>
                <w:sz w:val="22"/>
                <w:szCs w:val="22"/>
              </w:rPr>
              <w:t> </w:t>
            </w:r>
            <w:r w:rsidRPr="00CC159A">
              <w:rPr>
                <w:b/>
                <w:sz w:val="22"/>
                <w:szCs w:val="22"/>
              </w:rPr>
              <w:t>554,1</w:t>
            </w:r>
          </w:p>
        </w:tc>
        <w:tc>
          <w:tcPr>
            <w:tcW w:w="2287" w:type="dxa"/>
            <w:tcBorders>
              <w:top w:val="single" w:sz="4" w:space="0" w:color="auto"/>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b/>
                <w:sz w:val="22"/>
                <w:szCs w:val="22"/>
              </w:rPr>
            </w:pPr>
            <w:r w:rsidRPr="00CC159A">
              <w:rPr>
                <w:b/>
                <w:sz w:val="22"/>
                <w:szCs w:val="22"/>
              </w:rPr>
              <w:t>99,5</w:t>
            </w:r>
          </w:p>
        </w:tc>
        <w:tc>
          <w:tcPr>
            <w:tcW w:w="2288" w:type="dxa"/>
            <w:tcBorders>
              <w:top w:val="single" w:sz="4" w:space="0" w:color="auto"/>
              <w:left w:val="single" w:sz="4" w:space="0" w:color="auto"/>
              <w:right w:val="single" w:sz="4" w:space="0" w:color="auto"/>
            </w:tcBorders>
            <w:vAlign w:val="bottom"/>
          </w:tcPr>
          <w:p w:rsidR="00CC159A" w:rsidRPr="00CC159A" w:rsidRDefault="00CC159A" w:rsidP="00CC0B3E">
            <w:pPr>
              <w:tabs>
                <w:tab w:val="left" w:pos="1251"/>
              </w:tabs>
              <w:spacing w:before="100" w:after="100" w:line="220" w:lineRule="exact"/>
              <w:ind w:right="737"/>
              <w:jc w:val="right"/>
              <w:rPr>
                <w:b/>
                <w:sz w:val="22"/>
                <w:szCs w:val="22"/>
              </w:rPr>
            </w:pPr>
            <w:r w:rsidRPr="00CC159A">
              <w:rPr>
                <w:b/>
                <w:sz w:val="22"/>
                <w:szCs w:val="22"/>
              </w:rPr>
              <w:t>101,3</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425" w:right="57"/>
              <w:rPr>
                <w:spacing w:val="-6"/>
                <w:sz w:val="22"/>
                <w:szCs w:val="22"/>
              </w:rPr>
            </w:pPr>
            <w:r w:rsidRPr="00CC159A">
              <w:rPr>
                <w:spacing w:val="-6"/>
                <w:sz w:val="22"/>
                <w:szCs w:val="22"/>
              </w:rPr>
              <w:t xml:space="preserve">области и </w:t>
            </w:r>
            <w:proofErr w:type="spellStart"/>
            <w:r w:rsidRPr="00CC159A">
              <w:rPr>
                <w:spacing w:val="-6"/>
                <w:sz w:val="22"/>
                <w:szCs w:val="22"/>
              </w:rPr>
              <w:t>г</w:t>
            </w:r>
            <w:proofErr w:type="gramStart"/>
            <w:r w:rsidRPr="00CC159A">
              <w:rPr>
                <w:spacing w:val="-6"/>
                <w:sz w:val="22"/>
                <w:szCs w:val="22"/>
              </w:rPr>
              <w:t>.М</w:t>
            </w:r>
            <w:proofErr w:type="gramEnd"/>
            <w:r w:rsidRPr="00CC159A">
              <w:rPr>
                <w:spacing w:val="-6"/>
                <w:sz w:val="22"/>
                <w:szCs w:val="22"/>
              </w:rPr>
              <w:t>инск</w:t>
            </w:r>
            <w:proofErr w:type="spellEnd"/>
            <w:r w:rsidRPr="00CC159A">
              <w:rPr>
                <w:spacing w:val="-6"/>
                <w:sz w:val="22"/>
                <w:szCs w:val="22"/>
              </w:rPr>
              <w:t>:</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p>
        </w:tc>
        <w:tc>
          <w:tcPr>
            <w:tcW w:w="2288" w:type="dxa"/>
            <w:tcBorders>
              <w:left w:val="single" w:sz="4" w:space="0" w:color="auto"/>
              <w:right w:val="single" w:sz="4" w:space="0" w:color="auto"/>
            </w:tcBorders>
            <w:vAlign w:val="bottom"/>
          </w:tcPr>
          <w:p w:rsidR="00CC159A" w:rsidRPr="00CC159A" w:rsidRDefault="00CC159A" w:rsidP="00CC0B3E">
            <w:pPr>
              <w:tabs>
                <w:tab w:val="left" w:pos="1251"/>
              </w:tabs>
              <w:spacing w:before="100" w:after="100" w:line="220" w:lineRule="exact"/>
              <w:ind w:right="737"/>
              <w:jc w:val="right"/>
              <w:rPr>
                <w:sz w:val="22"/>
                <w:szCs w:val="22"/>
              </w:rPr>
            </w:pP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Брестская</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329,6</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99,0</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101,8</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Витебская</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299,6</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99,8</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100,5</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Гомельская</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332,4</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99,3</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98,5</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Гродненская</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258,1</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100,9</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99,7</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proofErr w:type="spellStart"/>
            <w:r w:rsidRPr="00CC159A">
              <w:rPr>
                <w:sz w:val="22"/>
                <w:szCs w:val="22"/>
              </w:rPr>
              <w:t>г</w:t>
            </w:r>
            <w:proofErr w:type="gramStart"/>
            <w:r w:rsidRPr="00CC159A">
              <w:rPr>
                <w:sz w:val="22"/>
                <w:szCs w:val="22"/>
              </w:rPr>
              <w:t>.М</w:t>
            </w:r>
            <w:proofErr w:type="gramEnd"/>
            <w:r w:rsidRPr="00CC159A">
              <w:rPr>
                <w:sz w:val="22"/>
                <w:szCs w:val="22"/>
              </w:rPr>
              <w:t>инск</w:t>
            </w:r>
            <w:proofErr w:type="spellEnd"/>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1</w:t>
            </w:r>
            <w:r w:rsidR="005A1143">
              <w:rPr>
                <w:sz w:val="22"/>
                <w:szCs w:val="22"/>
              </w:rPr>
              <w:t> </w:t>
            </w:r>
            <w:r w:rsidRPr="00CC159A">
              <w:rPr>
                <w:sz w:val="22"/>
                <w:szCs w:val="22"/>
              </w:rPr>
              <w:t>850,2</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99,7</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102,6</w:t>
            </w:r>
          </w:p>
        </w:tc>
      </w:tr>
      <w:tr w:rsidR="00CC159A" w:rsidRPr="00CC159A" w:rsidTr="00C71D86">
        <w:trPr>
          <w:jc w:val="center"/>
        </w:trPr>
        <w:tc>
          <w:tcPr>
            <w:tcW w:w="2376" w:type="dxa"/>
            <w:tcBorders>
              <w:left w:val="sing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Минская</w:t>
            </w:r>
          </w:p>
        </w:tc>
        <w:tc>
          <w:tcPr>
            <w:tcW w:w="2140"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234,1</w:t>
            </w:r>
          </w:p>
        </w:tc>
        <w:tc>
          <w:tcPr>
            <w:tcW w:w="2287"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97,2</w:t>
            </w:r>
          </w:p>
        </w:tc>
        <w:tc>
          <w:tcPr>
            <w:tcW w:w="2288" w:type="dxa"/>
            <w:tcBorders>
              <w:left w:val="sing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100,3</w:t>
            </w:r>
          </w:p>
        </w:tc>
      </w:tr>
      <w:tr w:rsidR="00CC159A" w:rsidRPr="00CC159A" w:rsidTr="00C71D86">
        <w:trPr>
          <w:jc w:val="center"/>
        </w:trPr>
        <w:tc>
          <w:tcPr>
            <w:tcW w:w="2376" w:type="dxa"/>
            <w:tcBorders>
              <w:left w:val="single" w:sz="4" w:space="0" w:color="auto"/>
              <w:bottom w:val="double" w:sz="4" w:space="0" w:color="auto"/>
              <w:right w:val="single" w:sz="4" w:space="0" w:color="auto"/>
            </w:tcBorders>
            <w:vAlign w:val="bottom"/>
          </w:tcPr>
          <w:p w:rsidR="00CC159A" w:rsidRPr="00CC159A" w:rsidRDefault="00CC159A" w:rsidP="00CC0B3E">
            <w:pPr>
              <w:spacing w:before="100" w:after="100" w:line="220" w:lineRule="exact"/>
              <w:ind w:left="284" w:right="57"/>
              <w:rPr>
                <w:sz w:val="22"/>
                <w:szCs w:val="22"/>
              </w:rPr>
            </w:pPr>
            <w:r w:rsidRPr="00CC159A">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680"/>
              <w:jc w:val="right"/>
              <w:rPr>
                <w:sz w:val="22"/>
                <w:szCs w:val="22"/>
              </w:rPr>
            </w:pPr>
            <w:r w:rsidRPr="00CC159A">
              <w:rPr>
                <w:sz w:val="22"/>
                <w:szCs w:val="22"/>
              </w:rPr>
              <w:t>250,1</w:t>
            </w:r>
          </w:p>
        </w:tc>
        <w:tc>
          <w:tcPr>
            <w:tcW w:w="2287" w:type="dxa"/>
            <w:tcBorders>
              <w:left w:val="single" w:sz="4" w:space="0" w:color="auto"/>
              <w:bottom w:val="doub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99,1</w:t>
            </w:r>
          </w:p>
        </w:tc>
        <w:tc>
          <w:tcPr>
            <w:tcW w:w="2288" w:type="dxa"/>
            <w:tcBorders>
              <w:left w:val="single" w:sz="4" w:space="0" w:color="auto"/>
              <w:bottom w:val="double" w:sz="4" w:space="0" w:color="auto"/>
              <w:right w:val="single" w:sz="4" w:space="0" w:color="auto"/>
            </w:tcBorders>
            <w:vAlign w:val="bottom"/>
          </w:tcPr>
          <w:p w:rsidR="00CC159A" w:rsidRPr="00CC159A" w:rsidRDefault="00CC159A" w:rsidP="00CC0B3E">
            <w:pPr>
              <w:widowControl w:val="0"/>
              <w:autoSpaceDE w:val="0"/>
              <w:autoSpaceDN w:val="0"/>
              <w:adjustRightInd w:val="0"/>
              <w:spacing w:before="100" w:after="100" w:line="220" w:lineRule="exact"/>
              <w:ind w:right="737"/>
              <w:jc w:val="right"/>
              <w:rPr>
                <w:sz w:val="22"/>
                <w:szCs w:val="22"/>
              </w:rPr>
            </w:pPr>
            <w:r w:rsidRPr="00CC159A">
              <w:rPr>
                <w:sz w:val="22"/>
                <w:szCs w:val="22"/>
              </w:rPr>
              <w:t>98,3</w:t>
            </w:r>
          </w:p>
        </w:tc>
      </w:tr>
    </w:tbl>
    <w:p w:rsidR="003578A7" w:rsidRPr="00CC0B3E" w:rsidRDefault="00E33B9F" w:rsidP="00CC0B3E">
      <w:pPr>
        <w:tabs>
          <w:tab w:val="left" w:pos="708"/>
          <w:tab w:val="center" w:pos="4153"/>
          <w:tab w:val="right" w:pos="8306"/>
        </w:tabs>
        <w:spacing w:before="120" w:after="120" w:line="340" w:lineRule="exact"/>
        <w:ind w:firstLine="709"/>
        <w:jc w:val="both"/>
        <w:rPr>
          <w:rFonts w:ascii="Arial" w:hAnsi="Arial" w:cs="Arial"/>
          <w:sz w:val="2"/>
          <w:szCs w:val="2"/>
        </w:rPr>
      </w:pPr>
      <w:r w:rsidRPr="005A1143">
        <w:rPr>
          <w:sz w:val="26"/>
          <w:szCs w:val="26"/>
        </w:rPr>
        <w:t xml:space="preserve">В </w:t>
      </w:r>
      <w:r w:rsidRPr="005A1143">
        <w:rPr>
          <w:spacing w:val="-6"/>
          <w:sz w:val="26"/>
          <w:szCs w:val="26"/>
          <w:lang w:val="en-US"/>
        </w:rPr>
        <w:t>I</w:t>
      </w:r>
      <w:r w:rsidRPr="005A1143">
        <w:rPr>
          <w:spacing w:val="-6"/>
          <w:sz w:val="26"/>
          <w:szCs w:val="26"/>
        </w:rPr>
        <w:t xml:space="preserve"> квартале 2021</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транспортных услуг приходилось </w:t>
      </w:r>
      <w:r w:rsidR="005A1143">
        <w:rPr>
          <w:sz w:val="26"/>
          <w:szCs w:val="26"/>
        </w:rPr>
        <w:t>9</w:t>
      </w:r>
      <w:r w:rsidRPr="005A1143">
        <w:rPr>
          <w:sz w:val="26"/>
          <w:szCs w:val="26"/>
        </w:rPr>
        <w:t xml:space="preserve">% (в сопоставимых ценах </w:t>
      </w:r>
      <w:r w:rsidR="005A1143">
        <w:rPr>
          <w:sz w:val="26"/>
          <w:szCs w:val="26"/>
        </w:rPr>
        <w:t>77,6</w:t>
      </w:r>
      <w:r w:rsidRPr="005A1143">
        <w:rPr>
          <w:sz w:val="26"/>
          <w:szCs w:val="26"/>
        </w:rPr>
        <w:t xml:space="preserve">% </w:t>
      </w:r>
      <w:r w:rsidRPr="005A1143">
        <w:rPr>
          <w:sz w:val="26"/>
          <w:szCs w:val="26"/>
        </w:rPr>
        <w:br/>
        <w:t xml:space="preserve">к уровню </w:t>
      </w:r>
      <w:r w:rsidRPr="005A1143">
        <w:rPr>
          <w:spacing w:val="-6"/>
          <w:sz w:val="26"/>
          <w:szCs w:val="26"/>
          <w:lang w:val="en-US"/>
        </w:rPr>
        <w:t>I</w:t>
      </w:r>
      <w:r w:rsidRPr="005A1143">
        <w:rPr>
          <w:spacing w:val="-6"/>
          <w:sz w:val="26"/>
          <w:szCs w:val="26"/>
        </w:rPr>
        <w:t xml:space="preserve"> квартала </w:t>
      </w:r>
      <w:r w:rsidRPr="005A1143">
        <w:rPr>
          <w:sz w:val="26"/>
          <w:szCs w:val="26"/>
        </w:rPr>
        <w:t>2020 г.), бытовых услуг – 7,</w:t>
      </w:r>
      <w:r w:rsidR="005A1143">
        <w:rPr>
          <w:sz w:val="26"/>
          <w:szCs w:val="26"/>
        </w:rPr>
        <w:t>6</w:t>
      </w:r>
      <w:r w:rsidRPr="005A1143">
        <w:rPr>
          <w:sz w:val="26"/>
          <w:szCs w:val="26"/>
        </w:rPr>
        <w:t>% (</w:t>
      </w:r>
      <w:r w:rsidR="005A1143">
        <w:rPr>
          <w:sz w:val="26"/>
          <w:szCs w:val="26"/>
        </w:rPr>
        <w:t>94,9</w:t>
      </w:r>
      <w:r w:rsidRPr="005A1143">
        <w:rPr>
          <w:sz w:val="26"/>
          <w:szCs w:val="26"/>
        </w:rPr>
        <w:t xml:space="preserve">%), </w:t>
      </w:r>
      <w:r w:rsidR="002B0E56" w:rsidRPr="005A1143">
        <w:rPr>
          <w:sz w:val="26"/>
          <w:szCs w:val="26"/>
        </w:rPr>
        <w:t>медицинских услуг – 7,</w:t>
      </w:r>
      <w:r w:rsidR="002B0E56">
        <w:rPr>
          <w:sz w:val="26"/>
          <w:szCs w:val="26"/>
        </w:rPr>
        <w:t>6</w:t>
      </w:r>
      <w:r w:rsidR="002B0E56" w:rsidRPr="005A1143">
        <w:rPr>
          <w:sz w:val="26"/>
          <w:szCs w:val="26"/>
        </w:rPr>
        <w:t>% (10</w:t>
      </w:r>
      <w:r w:rsidR="002B0E56">
        <w:rPr>
          <w:sz w:val="26"/>
          <w:szCs w:val="26"/>
        </w:rPr>
        <w:t>1</w:t>
      </w:r>
      <w:r w:rsidR="002B0E56" w:rsidRPr="005A1143">
        <w:rPr>
          <w:sz w:val="26"/>
          <w:szCs w:val="26"/>
        </w:rPr>
        <w:t>,3%)</w:t>
      </w:r>
      <w:r w:rsidR="002B0E56">
        <w:rPr>
          <w:sz w:val="26"/>
          <w:szCs w:val="26"/>
        </w:rPr>
        <w:t xml:space="preserve">, </w:t>
      </w:r>
      <w:r w:rsidRPr="005A1143">
        <w:rPr>
          <w:sz w:val="26"/>
          <w:szCs w:val="26"/>
        </w:rPr>
        <w:t>услуг в области образования – 7,</w:t>
      </w:r>
      <w:r w:rsidR="002B0E56">
        <w:rPr>
          <w:sz w:val="26"/>
          <w:szCs w:val="26"/>
        </w:rPr>
        <w:t>3</w:t>
      </w:r>
      <w:r w:rsidRPr="005A1143">
        <w:rPr>
          <w:sz w:val="26"/>
          <w:szCs w:val="26"/>
        </w:rPr>
        <w:t>% (9</w:t>
      </w:r>
      <w:r w:rsidR="002B0E56">
        <w:rPr>
          <w:sz w:val="26"/>
          <w:szCs w:val="26"/>
        </w:rPr>
        <w:t>7</w:t>
      </w:r>
      <w:r w:rsidRPr="005A1143">
        <w:rPr>
          <w:sz w:val="26"/>
          <w:szCs w:val="26"/>
        </w:rPr>
        <w:t>%)</w:t>
      </w:r>
      <w:r w:rsidR="002B0E56">
        <w:rPr>
          <w:sz w:val="26"/>
          <w:szCs w:val="26"/>
        </w:rPr>
        <w:t>.</w:t>
      </w:r>
    </w:p>
    <w:sectPr w:rsidR="003578A7" w:rsidRPr="00CC0B3E" w:rsidSect="002A3E9C">
      <w:headerReference w:type="default" r:id="rId10"/>
      <w:footerReference w:type="even" r:id="rId11"/>
      <w:footerReference w:type="default" r:id="rId12"/>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0E3" w:rsidRDefault="008610E3">
      <w:r>
        <w:separator/>
      </w:r>
    </w:p>
  </w:endnote>
  <w:endnote w:type="continuationSeparator" w:id="0">
    <w:p w:rsidR="008610E3" w:rsidRDefault="00861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FC6E3E">
      <w:rPr>
        <w:rStyle w:val="a6"/>
        <w:noProof/>
      </w:rPr>
      <w:t>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0E3" w:rsidRDefault="008610E3">
      <w:r>
        <w:separator/>
      </w:r>
    </w:p>
  </w:footnote>
  <w:footnote w:type="continuationSeparator" w:id="0">
    <w:p w:rsidR="008610E3" w:rsidRDefault="00861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CC0B3E">
    <w:pPr>
      <w:pStyle w:val="a3"/>
      <w:pBdr>
        <w:bottom w:val="double" w:sz="6" w:space="1" w:color="auto"/>
      </w:pBdr>
      <w:tabs>
        <w:tab w:val="center" w:pos="4536"/>
      </w:tabs>
      <w:spacing w:after="12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677EE"/>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2F"/>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7B0"/>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55D"/>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C99"/>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65F4"/>
    <w:rsid w:val="002171A6"/>
    <w:rsid w:val="00217D27"/>
    <w:rsid w:val="002206A6"/>
    <w:rsid w:val="00220761"/>
    <w:rsid w:val="0022089E"/>
    <w:rsid w:val="00220F2D"/>
    <w:rsid w:val="00221D5C"/>
    <w:rsid w:val="002222DF"/>
    <w:rsid w:val="00222840"/>
    <w:rsid w:val="0022299C"/>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6C76"/>
    <w:rsid w:val="002879F1"/>
    <w:rsid w:val="00287F0A"/>
    <w:rsid w:val="002927F5"/>
    <w:rsid w:val="00292D7B"/>
    <w:rsid w:val="00293058"/>
    <w:rsid w:val="002937F5"/>
    <w:rsid w:val="00293B7C"/>
    <w:rsid w:val="00293CB3"/>
    <w:rsid w:val="00294626"/>
    <w:rsid w:val="00294B0F"/>
    <w:rsid w:val="00296626"/>
    <w:rsid w:val="00296BAF"/>
    <w:rsid w:val="00297D15"/>
    <w:rsid w:val="002A2069"/>
    <w:rsid w:val="002A2B6B"/>
    <w:rsid w:val="002A2C8E"/>
    <w:rsid w:val="002A36BB"/>
    <w:rsid w:val="002A3799"/>
    <w:rsid w:val="002A3E9C"/>
    <w:rsid w:val="002A45DF"/>
    <w:rsid w:val="002A48B8"/>
    <w:rsid w:val="002A4F9F"/>
    <w:rsid w:val="002A57BB"/>
    <w:rsid w:val="002A5CC0"/>
    <w:rsid w:val="002A5ED8"/>
    <w:rsid w:val="002A5F6C"/>
    <w:rsid w:val="002A6587"/>
    <w:rsid w:val="002A6D1C"/>
    <w:rsid w:val="002A7FCC"/>
    <w:rsid w:val="002B09E5"/>
    <w:rsid w:val="002B0E56"/>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01B"/>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38D"/>
    <w:rsid w:val="00353461"/>
    <w:rsid w:val="00353755"/>
    <w:rsid w:val="0035580D"/>
    <w:rsid w:val="0035661B"/>
    <w:rsid w:val="00356A09"/>
    <w:rsid w:val="00356D5C"/>
    <w:rsid w:val="003578A7"/>
    <w:rsid w:val="00360A7D"/>
    <w:rsid w:val="00360EF9"/>
    <w:rsid w:val="003610D8"/>
    <w:rsid w:val="003621FE"/>
    <w:rsid w:val="00362637"/>
    <w:rsid w:val="00362792"/>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6817"/>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1"/>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2EF9"/>
    <w:rsid w:val="00483CDB"/>
    <w:rsid w:val="00484234"/>
    <w:rsid w:val="004843CE"/>
    <w:rsid w:val="00484417"/>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AE8"/>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3F9"/>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77E3B"/>
    <w:rsid w:val="00581BD1"/>
    <w:rsid w:val="00582395"/>
    <w:rsid w:val="0058256B"/>
    <w:rsid w:val="005856EF"/>
    <w:rsid w:val="0058683A"/>
    <w:rsid w:val="005872FC"/>
    <w:rsid w:val="005873BD"/>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143"/>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0B8"/>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53B"/>
    <w:rsid w:val="006F79DB"/>
    <w:rsid w:val="0070068D"/>
    <w:rsid w:val="0070106D"/>
    <w:rsid w:val="007014C2"/>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83B"/>
    <w:rsid w:val="00725AE0"/>
    <w:rsid w:val="0072651A"/>
    <w:rsid w:val="00726D32"/>
    <w:rsid w:val="00727574"/>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ED0"/>
    <w:rsid w:val="00795F71"/>
    <w:rsid w:val="00796509"/>
    <w:rsid w:val="00797856"/>
    <w:rsid w:val="007979D5"/>
    <w:rsid w:val="007A0307"/>
    <w:rsid w:val="007A04B6"/>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AAB"/>
    <w:rsid w:val="00847E2E"/>
    <w:rsid w:val="00851F46"/>
    <w:rsid w:val="00852919"/>
    <w:rsid w:val="00856656"/>
    <w:rsid w:val="008577C5"/>
    <w:rsid w:val="00857F1F"/>
    <w:rsid w:val="00860639"/>
    <w:rsid w:val="008610E3"/>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342"/>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CBA"/>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192"/>
    <w:rsid w:val="009B0CBD"/>
    <w:rsid w:val="009B1495"/>
    <w:rsid w:val="009B1B20"/>
    <w:rsid w:val="009B2351"/>
    <w:rsid w:val="009B2CD2"/>
    <w:rsid w:val="009B2F98"/>
    <w:rsid w:val="009B308F"/>
    <w:rsid w:val="009B4295"/>
    <w:rsid w:val="009B4EED"/>
    <w:rsid w:val="009B561C"/>
    <w:rsid w:val="009B7207"/>
    <w:rsid w:val="009B789E"/>
    <w:rsid w:val="009C0153"/>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39A0"/>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33B4"/>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974"/>
    <w:rsid w:val="00A36BD3"/>
    <w:rsid w:val="00A36E70"/>
    <w:rsid w:val="00A3755B"/>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4DC4"/>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C8D"/>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0B3E"/>
    <w:rsid w:val="00CC159A"/>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576"/>
    <w:rsid w:val="00CF0A6D"/>
    <w:rsid w:val="00CF0C2C"/>
    <w:rsid w:val="00CF159C"/>
    <w:rsid w:val="00CF1607"/>
    <w:rsid w:val="00CF1B49"/>
    <w:rsid w:val="00CF254F"/>
    <w:rsid w:val="00CF26D2"/>
    <w:rsid w:val="00CF2A61"/>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5C1E"/>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26E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3B9F"/>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1942"/>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6D2A"/>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FF9"/>
    <w:rsid w:val="00EF2403"/>
    <w:rsid w:val="00EF25FA"/>
    <w:rsid w:val="00EF3B46"/>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7B2"/>
    <w:rsid w:val="00FC6C38"/>
    <w:rsid w:val="00FC6E3E"/>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3AA4"/>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6143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777297277652514E-2"/>
          <c:y val="7.6473387404203841E-2"/>
          <c:w val="0.91882112378162029"/>
          <c:h val="0.79393939393939394"/>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51475263513E-3"/>
                  <c:y val="-6.062818994081836E-2"/>
                </c:manualLayout>
              </c:layout>
              <c:tx>
                <c:rich>
                  <a:bodyPr/>
                  <a:lstStyle/>
                  <a:p>
                    <a:r>
                      <a:rPr lang="ru-RU" sz="922" b="0"/>
                      <a:t>101,3</a:t>
                    </a:r>
                    <a:endParaRPr lang="en-US"/>
                  </a:p>
                </c:rich>
              </c:tx>
              <c:dLblPos val="r"/>
              <c:showLegendKey val="0"/>
              <c:showVal val="0"/>
              <c:showCatName val="0"/>
              <c:showSerName val="0"/>
              <c:showPercent val="0"/>
              <c:showBubbleSize val="0"/>
            </c:dLbl>
            <c:dLbl>
              <c:idx val="1"/>
              <c:layout>
                <c:manualLayout>
                  <c:x val="-3.10307282575139E-2"/>
                  <c:y val="-8.4337068675854415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1.1090217365777722E-2"/>
                  <c:y val="-7.5823368065188732E-2"/>
                </c:manualLayout>
              </c:layout>
              <c:dLblPos val="r"/>
              <c:showLegendKey val="0"/>
              <c:showVal val="1"/>
              <c:showCatName val="0"/>
              <c:showSerName val="0"/>
              <c:showPercent val="0"/>
              <c:showBubbleSize val="0"/>
            </c:dLbl>
            <c:dLbl>
              <c:idx val="5"/>
              <c:layout>
                <c:manualLayout>
                  <c:x val="-6.4306680016483472E-2"/>
                  <c:y val="-6.0092078097620544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Sheet1!$N$1:$R$1</c:f>
              <c:strCache>
                <c:ptCount val="5"/>
                <c:pt idx="0">
                  <c:v>I-III</c:v>
                </c:pt>
                <c:pt idx="1">
                  <c:v>I-VI</c:v>
                </c:pt>
                <c:pt idx="2">
                  <c:v>I-IX</c:v>
                </c:pt>
                <c:pt idx="3">
                  <c:v>I-XII</c:v>
                </c:pt>
                <c:pt idx="4">
                  <c:v>I-III</c:v>
                </c:pt>
              </c:strCache>
            </c:strRef>
          </c:cat>
          <c:val>
            <c:numRef>
              <c:f>Sheet1!$N$2:$R$2</c:f>
              <c:numCache>
                <c:formatCode>General</c:formatCode>
                <c:ptCount val="5"/>
                <c:pt idx="0">
                  <c:v>101.3</c:v>
                </c:pt>
                <c:pt idx="1">
                  <c:v>90.9</c:v>
                </c:pt>
                <c:pt idx="2">
                  <c:v>89.6</c:v>
                </c:pt>
                <c:pt idx="3">
                  <c:v>90.8</c:v>
                </c:pt>
                <c:pt idx="4">
                  <c:v>99.5</c:v>
                </c:pt>
              </c:numCache>
            </c:numRef>
          </c:val>
          <c:smooth val="1"/>
        </c:ser>
        <c:dLbls>
          <c:showLegendKey val="0"/>
          <c:showVal val="0"/>
          <c:showCatName val="0"/>
          <c:showSerName val="0"/>
          <c:showPercent val="0"/>
          <c:showBubbleSize val="0"/>
        </c:dLbls>
        <c:marker val="1"/>
        <c:smooth val="0"/>
        <c:axId val="69977216"/>
        <c:axId val="69978752"/>
      </c:lineChart>
      <c:catAx>
        <c:axId val="69977216"/>
        <c:scaling>
          <c:orientation val="minMax"/>
        </c:scaling>
        <c:delete val="0"/>
        <c:axPos val="b"/>
        <c:numFmt formatCode="General" sourceLinked="1"/>
        <c:majorTickMark val="out"/>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9978752"/>
        <c:crossesAt val="100"/>
        <c:auto val="0"/>
        <c:lblAlgn val="ctr"/>
        <c:lblOffset val="100"/>
        <c:tickLblSkip val="1"/>
        <c:tickMarkSkip val="1"/>
        <c:noMultiLvlLbl val="0"/>
      </c:catAx>
      <c:valAx>
        <c:axId val="69978752"/>
        <c:scaling>
          <c:orientation val="minMax"/>
          <c:max val="110"/>
          <c:min val="85"/>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9977216"/>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80FBC9-9F59-4F54-A61C-5F34B7D8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152</Words>
  <Characters>868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Новикова Наталья Сергеевна</cp:lastModifiedBy>
  <cp:revision>77</cp:revision>
  <cp:lastPrinted>2021-05-18T11:15:00Z</cp:lastPrinted>
  <dcterms:created xsi:type="dcterms:W3CDTF">2019-05-20T09:42:00Z</dcterms:created>
  <dcterms:modified xsi:type="dcterms:W3CDTF">2021-05-25T09:49:00Z</dcterms:modified>
</cp:coreProperties>
</file>