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497A50">
        <w:rPr>
          <w:rFonts w:ascii="Arial" w:hAnsi="Arial"/>
          <w:b/>
          <w:sz w:val="26"/>
          <w:szCs w:val="26"/>
        </w:rPr>
        <w:t>2. ВАЛОВОЙ ВНУТРЕННИЙ ПРОДУКТ (ВВП)</w:t>
      </w:r>
    </w:p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497A50">
        <w:rPr>
          <w:rFonts w:ascii="Arial" w:hAnsi="Arial"/>
          <w:b/>
          <w:sz w:val="26"/>
          <w:szCs w:val="26"/>
        </w:rPr>
        <w:t>2.1. Динамика и структура валового внутреннего продукта</w:t>
      </w:r>
    </w:p>
    <w:p w:rsidR="00497A50" w:rsidRPr="00497A50" w:rsidRDefault="00497A50" w:rsidP="00497A50">
      <w:pPr>
        <w:spacing w:after="160" w:line="320" w:lineRule="exact"/>
        <w:ind w:firstLine="709"/>
        <w:jc w:val="both"/>
        <w:rPr>
          <w:sz w:val="26"/>
          <w:szCs w:val="26"/>
        </w:rPr>
      </w:pPr>
      <w:r w:rsidRPr="00497A50">
        <w:rPr>
          <w:sz w:val="26"/>
        </w:rPr>
        <w:t xml:space="preserve">Осуществлена первая оценка валового внутреннего продукта </w:t>
      </w:r>
      <w:r w:rsidRPr="00497A50">
        <w:rPr>
          <w:sz w:val="26"/>
        </w:rPr>
        <w:br/>
        <w:t xml:space="preserve">за </w:t>
      </w:r>
      <w:r w:rsidRPr="00497A50">
        <w:rPr>
          <w:sz w:val="26"/>
          <w:szCs w:val="26"/>
        </w:rPr>
        <w:t>январь-</w:t>
      </w:r>
      <w:r w:rsidR="00BF36EA">
        <w:rPr>
          <w:sz w:val="26"/>
          <w:szCs w:val="26"/>
        </w:rPr>
        <w:t>август</w:t>
      </w:r>
      <w:r w:rsidRPr="00497A50">
        <w:rPr>
          <w:sz w:val="26"/>
          <w:szCs w:val="26"/>
        </w:rPr>
        <w:t xml:space="preserve">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г. Объем ВВП за январь-</w:t>
      </w:r>
      <w:r w:rsidR="00BF36EA">
        <w:rPr>
          <w:sz w:val="26"/>
        </w:rPr>
        <w:t>август</w:t>
      </w:r>
      <w:r w:rsidRPr="00497A50">
        <w:rPr>
          <w:sz w:val="26"/>
        </w:rPr>
        <w:t xml:space="preserve"> 2020 г. в </w:t>
      </w:r>
      <w:r w:rsidRPr="00497A50">
        <w:rPr>
          <w:sz w:val="26"/>
          <w:szCs w:val="26"/>
        </w:rPr>
        <w:t xml:space="preserve">текущих ценах сложился в сумме </w:t>
      </w:r>
      <w:r w:rsidR="00794BE8" w:rsidRPr="00794BE8">
        <w:rPr>
          <w:sz w:val="26"/>
          <w:szCs w:val="26"/>
          <w:shd w:val="clear" w:color="auto" w:fill="FFFFFF"/>
        </w:rPr>
        <w:t>93</w:t>
      </w:r>
      <w:r w:rsidR="00597CA0" w:rsidRPr="00BF36EA">
        <w:rPr>
          <w:i/>
          <w:sz w:val="26"/>
          <w:szCs w:val="26"/>
        </w:rPr>
        <w:t> </w:t>
      </w:r>
      <w:r w:rsidRPr="00497A50">
        <w:rPr>
          <w:sz w:val="26"/>
          <w:szCs w:val="26"/>
        </w:rPr>
        <w:t>млрд.</w:t>
      </w:r>
      <w:r w:rsidR="00597CA0">
        <w:rPr>
          <w:sz w:val="26"/>
          <w:szCs w:val="26"/>
        </w:rPr>
        <w:t> </w:t>
      </w:r>
      <w:r w:rsidRPr="00497A50">
        <w:rPr>
          <w:sz w:val="26"/>
          <w:szCs w:val="26"/>
        </w:rPr>
        <w:t>рублей. Темп ВВП за январь-</w:t>
      </w:r>
      <w:r w:rsidR="00BF36EA">
        <w:rPr>
          <w:sz w:val="26"/>
          <w:szCs w:val="26"/>
        </w:rPr>
        <w:t>август</w:t>
      </w:r>
      <w:r w:rsidRPr="00497A50">
        <w:rPr>
          <w:sz w:val="26"/>
          <w:szCs w:val="26"/>
        </w:rPr>
        <w:t xml:space="preserve">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г.</w:t>
      </w:r>
      <w:r w:rsidRPr="00497A50">
        <w:rPr>
          <w:sz w:val="26"/>
          <w:szCs w:val="26"/>
        </w:rPr>
        <w:t xml:space="preserve"> </w:t>
      </w:r>
      <w:r w:rsidRPr="00497A50">
        <w:rPr>
          <w:sz w:val="26"/>
          <w:szCs w:val="26"/>
        </w:rPr>
        <w:br/>
        <w:t xml:space="preserve">в сопоставимых ценах составил </w:t>
      </w:r>
      <w:r w:rsidRPr="00794BE8">
        <w:rPr>
          <w:sz w:val="26"/>
          <w:szCs w:val="26"/>
        </w:rPr>
        <w:t>98</w:t>
      </w:r>
      <w:r w:rsidRPr="00794BE8">
        <w:rPr>
          <w:sz w:val="26"/>
          <w:szCs w:val="26"/>
          <w:shd w:val="clear" w:color="auto" w:fill="FFFFFF"/>
        </w:rPr>
        <w:t>,</w:t>
      </w:r>
      <w:r w:rsidR="00794BE8" w:rsidRPr="00794BE8">
        <w:rPr>
          <w:sz w:val="26"/>
          <w:szCs w:val="26"/>
          <w:shd w:val="clear" w:color="auto" w:fill="FFFFFF"/>
        </w:rPr>
        <w:t>7</w:t>
      </w:r>
      <w:r w:rsidRPr="00497A50">
        <w:rPr>
          <w:sz w:val="26"/>
          <w:szCs w:val="26"/>
          <w:shd w:val="clear" w:color="auto" w:fill="FFFFFF"/>
        </w:rPr>
        <w:t>%</w:t>
      </w:r>
      <w:r w:rsidRPr="00497A50">
        <w:rPr>
          <w:sz w:val="26"/>
          <w:szCs w:val="26"/>
        </w:rPr>
        <w:t xml:space="preserve"> при задании на январь-сентябрь 2020 г. </w:t>
      </w:r>
      <w:r w:rsidRPr="00497A50">
        <w:rPr>
          <w:sz w:val="26"/>
          <w:szCs w:val="26"/>
        </w:rPr>
        <w:br/>
      </w:r>
      <w:r w:rsidRPr="00497A50">
        <w:rPr>
          <w:sz w:val="26"/>
        </w:rPr>
        <w:t>в соответствии с постановлением Совета Министров</w:t>
      </w:r>
      <w:r w:rsidRPr="00497A50">
        <w:rPr>
          <w:sz w:val="26"/>
          <w:szCs w:val="26"/>
        </w:rPr>
        <w:t xml:space="preserve"> Республики Беларусь </w:t>
      </w:r>
      <w:r w:rsidRPr="00497A50">
        <w:rPr>
          <w:sz w:val="26"/>
          <w:szCs w:val="26"/>
        </w:rPr>
        <w:br/>
        <w:t xml:space="preserve">от 27 декабря 2019 г. № 921 </w:t>
      </w:r>
      <w:r w:rsidRPr="00497A50">
        <w:rPr>
          <w:sz w:val="26"/>
        </w:rPr>
        <w:t>– 102,2%</w:t>
      </w:r>
      <w:r w:rsidRPr="00497A50">
        <w:rPr>
          <w:sz w:val="26"/>
          <w:szCs w:val="26"/>
        </w:rPr>
        <w:t xml:space="preserve">, индекс-дефлятор ВВП – </w:t>
      </w:r>
      <w:r w:rsidRPr="00794BE8">
        <w:rPr>
          <w:sz w:val="26"/>
          <w:szCs w:val="26"/>
        </w:rPr>
        <w:t>111,</w:t>
      </w:r>
      <w:r w:rsidR="00794BE8" w:rsidRPr="00794BE8">
        <w:rPr>
          <w:sz w:val="26"/>
          <w:szCs w:val="26"/>
        </w:rPr>
        <w:t>5</w:t>
      </w:r>
      <w:r w:rsidRPr="00497A50">
        <w:rPr>
          <w:sz w:val="26"/>
          <w:szCs w:val="26"/>
        </w:rPr>
        <w:t>%.</w:t>
      </w:r>
    </w:p>
    <w:p w:rsidR="00497A50" w:rsidRPr="00497A50" w:rsidRDefault="00497A50" w:rsidP="00497A50">
      <w:pPr>
        <w:spacing w:before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497A50">
        <w:rPr>
          <w:rFonts w:ascii="Arial" w:hAnsi="Arial" w:cs="Arial"/>
          <w:b/>
          <w:sz w:val="22"/>
          <w:szCs w:val="22"/>
        </w:rPr>
        <w:t>Производство валового внутреннего продукта</w:t>
      </w:r>
    </w:p>
    <w:p w:rsidR="00497A50" w:rsidRPr="00497A50" w:rsidRDefault="00C0456D" w:rsidP="00497A50">
      <w:pPr>
        <w:spacing w:before="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i/>
          <w:noProof/>
        </w:rPr>
        <w:drawing>
          <wp:anchor distT="0" distB="0" distL="114300" distR="114300" simplePos="0" relativeHeight="251678720" behindDoc="0" locked="0" layoutInCell="1" allowOverlap="1" wp14:anchorId="7780AE75" wp14:editId="1EB1A947">
            <wp:simplePos x="0" y="0"/>
            <wp:positionH relativeFrom="column">
              <wp:posOffset>-224155</wp:posOffset>
            </wp:positionH>
            <wp:positionV relativeFrom="paragraph">
              <wp:posOffset>166370</wp:posOffset>
            </wp:positionV>
            <wp:extent cx="6162675" cy="1981200"/>
            <wp:effectExtent l="0" t="0" r="0" b="0"/>
            <wp:wrapNone/>
            <wp:docPr id="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497A50" w:rsidRPr="00497A50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C0456D" w:rsidRDefault="00497A50" w:rsidP="00497A50">
      <w:pPr>
        <w:spacing w:before="80" w:after="60" w:line="260" w:lineRule="exac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>Валовой внутренний продукт и валовая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4"/>
        <w:gridCol w:w="1701"/>
        <w:gridCol w:w="1559"/>
        <w:gridCol w:w="1732"/>
      </w:tblGrid>
      <w:tr w:rsidR="00497A50" w:rsidRPr="00497A50" w:rsidTr="00497A50">
        <w:trPr>
          <w:trHeight w:val="20"/>
          <w:tblHeader/>
          <w:jc w:val="center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497A5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BF36E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497A50">
              <w:rPr>
                <w:spacing w:val="-4"/>
                <w:sz w:val="22"/>
                <w:szCs w:val="22"/>
              </w:rPr>
              <w:t>Январь-</w:t>
            </w:r>
            <w:r w:rsidR="00BF36EA">
              <w:rPr>
                <w:spacing w:val="-4"/>
                <w:sz w:val="22"/>
                <w:szCs w:val="22"/>
              </w:rPr>
              <w:t>август</w:t>
            </w:r>
            <w:r w:rsidRPr="00497A50">
              <w:rPr>
                <w:spacing w:val="-4"/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2020 г.</w:t>
            </w:r>
          </w:p>
        </w:tc>
      </w:tr>
      <w:tr w:rsidR="00497A50" w:rsidRPr="00497A50" w:rsidTr="00497A50">
        <w:trPr>
          <w:trHeight w:val="20"/>
          <w:tblHeader/>
          <w:jc w:val="center"/>
        </w:trPr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497A5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497A50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7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497A50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BF36EA">
              <w:rPr>
                <w:spacing w:val="-4"/>
                <w:sz w:val="22"/>
                <w:szCs w:val="22"/>
              </w:rPr>
              <w:t>августу</w:t>
            </w:r>
          </w:p>
          <w:p w:rsidR="00497A50" w:rsidRPr="00497A50" w:rsidRDefault="00497A50" w:rsidP="00497A50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497A50" w:rsidRPr="00497A50" w:rsidTr="00497A50">
        <w:trPr>
          <w:trHeight w:val="826"/>
          <w:tblHeader/>
          <w:jc w:val="center"/>
        </w:trPr>
        <w:tc>
          <w:tcPr>
            <w:tcW w:w="4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497A50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497A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497A50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  <w:t>ВВП</w:t>
            </w: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497A50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keepNext/>
              <w:tabs>
                <w:tab w:val="left" w:pos="356"/>
              </w:tabs>
              <w:spacing w:before="20" w:after="40" w:line="200" w:lineRule="exact"/>
              <w:outlineLvl w:val="0"/>
              <w:rPr>
                <w:b/>
                <w:bCs/>
                <w:sz w:val="22"/>
                <w:szCs w:val="22"/>
              </w:rPr>
            </w:pPr>
            <w:r w:rsidRPr="00497A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794BE8" w:rsidP="00794BE8">
            <w:pPr>
              <w:spacing w:before="2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93 007</w:t>
            </w:r>
            <w:r w:rsidR="00497A50" w:rsidRPr="00497A5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21D64">
            <w:pPr>
              <w:tabs>
                <w:tab w:val="left" w:pos="785"/>
                <w:tab w:val="left" w:pos="1561"/>
                <w:tab w:val="left" w:pos="2765"/>
              </w:tabs>
              <w:spacing w:before="2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98,</w:t>
            </w:r>
            <w:r w:rsidR="00021D64">
              <w:rPr>
                <w:b/>
                <w:sz w:val="22"/>
                <w:szCs w:val="22"/>
              </w:rPr>
              <w:t>7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keepNext/>
              <w:tabs>
                <w:tab w:val="left" w:pos="356"/>
              </w:tabs>
              <w:spacing w:before="20" w:after="40" w:line="200" w:lineRule="exact"/>
              <w:ind w:left="499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1561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keepNext/>
              <w:tabs>
                <w:tab w:val="left" w:pos="214"/>
              </w:tabs>
              <w:spacing w:before="20" w:after="40" w:line="200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валовая добавленная стоимость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90FCB" w:rsidP="00190FCB">
            <w:pPr>
              <w:spacing w:before="2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  <w:r w:rsidR="00497A50" w:rsidRPr="00497A5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971</w:t>
            </w:r>
            <w:r w:rsidR="00497A50" w:rsidRPr="00497A5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794BE8">
            <w:pPr>
              <w:spacing w:before="2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8</w:t>
            </w:r>
            <w:r w:rsidR="00794BE8">
              <w:rPr>
                <w:b/>
                <w:sz w:val="22"/>
                <w:szCs w:val="22"/>
              </w:rPr>
              <w:t>7</w:t>
            </w:r>
            <w:r w:rsidRPr="00497A50">
              <w:rPr>
                <w:b/>
                <w:sz w:val="22"/>
                <w:szCs w:val="22"/>
              </w:rPr>
              <w:t>,</w:t>
            </w:r>
            <w:r w:rsidR="00794BE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21D64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98,</w:t>
            </w:r>
            <w:r w:rsidR="00021D64">
              <w:rPr>
                <w:b/>
                <w:sz w:val="22"/>
                <w:szCs w:val="22"/>
              </w:rPr>
              <w:t>9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keepNext/>
              <w:tabs>
                <w:tab w:val="left" w:pos="356"/>
              </w:tabs>
              <w:spacing w:before="20" w:after="40" w:line="200" w:lineRule="exact"/>
              <w:ind w:left="498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356"/>
              </w:tabs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90FCB" w:rsidP="00190FCB">
            <w:pPr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97A50" w:rsidRPr="00497A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140</w:t>
            </w:r>
            <w:r w:rsidR="00497A50"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029A9" w:rsidP="00FB1227">
            <w:pPr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21D64">
            <w:pPr>
              <w:tabs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021D64">
              <w:rPr>
                <w:sz w:val="22"/>
                <w:szCs w:val="22"/>
              </w:rPr>
              <w:t>8</w:t>
            </w:r>
            <w:r w:rsidRPr="00497A50">
              <w:rPr>
                <w:sz w:val="22"/>
                <w:szCs w:val="22"/>
              </w:rPr>
              <w:t>,</w:t>
            </w:r>
            <w:r w:rsidR="00021D64">
              <w:rPr>
                <w:sz w:val="22"/>
                <w:szCs w:val="22"/>
              </w:rPr>
              <w:t>1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90FCB" w:rsidP="00FB1227">
            <w:pPr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</w:t>
            </w:r>
            <w:r w:rsidR="00497A50" w:rsidRPr="00497A50">
              <w:rPr>
                <w:sz w:val="22"/>
                <w:szCs w:val="22"/>
              </w:rPr>
              <w:t>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0,6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98,</w:t>
            </w:r>
            <w:r w:rsidR="00021D64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190FCB">
            <w:pPr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</w:t>
            </w:r>
            <w:r w:rsidR="00190FCB">
              <w:rPr>
                <w:sz w:val="22"/>
                <w:szCs w:val="22"/>
              </w:rPr>
              <w:t>9</w:t>
            </w:r>
            <w:r w:rsidRPr="00497A50">
              <w:rPr>
                <w:sz w:val="22"/>
                <w:szCs w:val="22"/>
              </w:rPr>
              <w:t> </w:t>
            </w:r>
            <w:r w:rsidR="00190FCB">
              <w:rPr>
                <w:sz w:val="22"/>
                <w:szCs w:val="22"/>
              </w:rPr>
              <w:t>577</w:t>
            </w:r>
            <w:r w:rsidRPr="00497A50">
              <w:rPr>
                <w:sz w:val="22"/>
                <w:szCs w:val="22"/>
              </w:rPr>
              <w:t>,</w:t>
            </w:r>
            <w:r w:rsidR="00190FCB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21,</w:t>
            </w:r>
            <w:r w:rsidR="00B029A9">
              <w:rPr>
                <w:sz w:val="22"/>
                <w:szCs w:val="22"/>
              </w:rPr>
              <w:t>0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97,</w:t>
            </w:r>
            <w:r w:rsidR="00021D64">
              <w:rPr>
                <w:color w:val="000000"/>
                <w:sz w:val="22"/>
                <w:szCs w:val="22"/>
              </w:rPr>
              <w:t>9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497A50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190FCB">
            <w:pPr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</w:t>
            </w:r>
            <w:r w:rsidR="00E61046">
              <w:rPr>
                <w:sz w:val="22"/>
                <w:szCs w:val="22"/>
              </w:rPr>
              <w:t xml:space="preserve"> </w:t>
            </w:r>
            <w:r w:rsidR="00190FCB">
              <w:rPr>
                <w:sz w:val="22"/>
                <w:szCs w:val="22"/>
              </w:rPr>
              <w:t>900</w:t>
            </w:r>
            <w:r w:rsidRPr="00497A50">
              <w:rPr>
                <w:sz w:val="22"/>
                <w:szCs w:val="22"/>
              </w:rPr>
              <w:t>,</w:t>
            </w:r>
            <w:r w:rsidR="00190FC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3,</w:t>
            </w:r>
            <w:r w:rsidR="00B029A9">
              <w:rPr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96,</w:t>
            </w:r>
            <w:r w:rsidR="00021D64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водоснабжение; сбор, обработка </w:t>
            </w:r>
            <w:r w:rsidRPr="00497A50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497A50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90FCB" w:rsidP="00190FCB">
            <w:pPr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  <w:r w:rsidR="00497A50"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0,7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100,</w:t>
            </w:r>
            <w:r w:rsidR="00021D64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90FCB" w:rsidP="00190FCB">
            <w:pPr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97A50" w:rsidRPr="00497A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358</w:t>
            </w:r>
            <w:r w:rsidR="00497A50" w:rsidRPr="00497A50">
              <w:rPr>
                <w:sz w:val="22"/>
                <w:szCs w:val="22"/>
              </w:rPr>
              <w:t>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5,8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10</w:t>
            </w:r>
            <w:r w:rsidR="00021D64">
              <w:rPr>
                <w:color w:val="000000"/>
                <w:sz w:val="22"/>
                <w:szCs w:val="22"/>
              </w:rPr>
              <w:t>4,7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оптовая и розничная торговля; </w:t>
            </w:r>
            <w:r w:rsidRPr="00497A50"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90FCB" w:rsidP="00190FCB">
            <w:pPr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97A50" w:rsidRPr="00497A5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538</w:t>
            </w:r>
            <w:r w:rsidR="00497A50"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B029A9">
              <w:rPr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497A50">
              <w:rPr>
                <w:color w:val="000000"/>
                <w:sz w:val="22"/>
                <w:szCs w:val="22"/>
              </w:rPr>
              <w:t>97,</w:t>
            </w:r>
            <w:r w:rsidR="00021D64">
              <w:rPr>
                <w:color w:val="000000"/>
                <w:sz w:val="22"/>
                <w:szCs w:val="22"/>
              </w:rPr>
              <w:t>0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356"/>
              </w:tabs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190FCB">
            <w:pPr>
              <w:tabs>
                <w:tab w:val="left" w:pos="356"/>
              </w:tabs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4 </w:t>
            </w:r>
            <w:r w:rsidR="00190FCB">
              <w:rPr>
                <w:sz w:val="22"/>
                <w:szCs w:val="22"/>
              </w:rPr>
              <w:t>820</w:t>
            </w:r>
            <w:r w:rsidRPr="00497A50">
              <w:rPr>
                <w:sz w:val="22"/>
                <w:szCs w:val="22"/>
              </w:rPr>
              <w:t>,</w:t>
            </w:r>
            <w:r w:rsidR="00190FCB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tabs>
                <w:tab w:val="left" w:pos="356"/>
              </w:tabs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5,2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EE41E1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8</w:t>
            </w:r>
            <w:r w:rsidR="00EE41E1">
              <w:rPr>
                <w:sz w:val="22"/>
                <w:szCs w:val="22"/>
              </w:rPr>
              <w:t>9</w:t>
            </w:r>
            <w:r w:rsidRPr="00497A50">
              <w:rPr>
                <w:sz w:val="22"/>
                <w:szCs w:val="22"/>
              </w:rPr>
              <w:t>,</w:t>
            </w:r>
            <w:r w:rsidR="00021D64">
              <w:rPr>
                <w:sz w:val="22"/>
                <w:szCs w:val="22"/>
              </w:rPr>
              <w:t>3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356"/>
              </w:tabs>
              <w:spacing w:before="20" w:after="30" w:line="190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190FCB" w:rsidP="00190FCB">
            <w:pPr>
              <w:tabs>
                <w:tab w:val="left" w:pos="356"/>
              </w:tabs>
              <w:spacing w:before="2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97A50" w:rsidRPr="00497A50">
              <w:rPr>
                <w:sz w:val="22"/>
                <w:szCs w:val="22"/>
              </w:rPr>
              <w:t> 0</w:t>
            </w:r>
            <w:r>
              <w:rPr>
                <w:sz w:val="22"/>
                <w:szCs w:val="22"/>
              </w:rPr>
              <w:t>03</w:t>
            </w:r>
            <w:r w:rsidR="00497A50"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FB1227">
            <w:pPr>
              <w:tabs>
                <w:tab w:val="left" w:pos="356"/>
              </w:tabs>
              <w:spacing w:before="20" w:after="30" w:line="190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7,</w:t>
            </w:r>
            <w:r w:rsidR="00B029A9">
              <w:rPr>
                <w:sz w:val="22"/>
                <w:szCs w:val="22"/>
              </w:rPr>
              <w:t>5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108,</w:t>
            </w:r>
            <w:r w:rsidR="00021D64">
              <w:rPr>
                <w:sz w:val="22"/>
                <w:szCs w:val="22"/>
              </w:rPr>
              <w:t>1</w:t>
            </w:r>
          </w:p>
        </w:tc>
      </w:tr>
      <w:tr w:rsidR="00497A50" w:rsidRPr="00497A50" w:rsidTr="00497A50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497A50">
            <w:pPr>
              <w:spacing w:before="20" w:after="30" w:line="190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190FCB">
            <w:pPr>
              <w:spacing w:before="20" w:after="30" w:line="19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</w:t>
            </w:r>
            <w:r w:rsidR="00190FCB">
              <w:rPr>
                <w:b/>
                <w:sz w:val="22"/>
                <w:szCs w:val="22"/>
              </w:rPr>
              <w:t>2</w:t>
            </w:r>
            <w:r w:rsidRPr="00497A50">
              <w:rPr>
                <w:b/>
                <w:sz w:val="22"/>
                <w:szCs w:val="22"/>
              </w:rPr>
              <w:t> </w:t>
            </w:r>
            <w:r w:rsidR="00190FCB">
              <w:rPr>
                <w:b/>
                <w:sz w:val="22"/>
                <w:szCs w:val="22"/>
              </w:rPr>
              <w:t>036</w:t>
            </w:r>
            <w:r w:rsidRPr="00497A50">
              <w:rPr>
                <w:b/>
                <w:sz w:val="22"/>
                <w:szCs w:val="22"/>
              </w:rPr>
              <w:t>,</w:t>
            </w:r>
            <w:r w:rsidR="00190FC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B029A9">
            <w:pPr>
              <w:spacing w:before="20" w:after="30" w:line="19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13,</w:t>
            </w:r>
            <w:r w:rsidR="00B029A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21D64">
            <w:pPr>
              <w:tabs>
                <w:tab w:val="left" w:pos="780"/>
                <w:tab w:val="left" w:pos="922"/>
                <w:tab w:val="left" w:pos="2765"/>
              </w:tabs>
              <w:spacing w:before="20" w:after="30" w:line="19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497A50">
              <w:rPr>
                <w:b/>
                <w:color w:val="000000"/>
                <w:sz w:val="22"/>
                <w:szCs w:val="22"/>
              </w:rPr>
              <w:t>97,</w:t>
            </w:r>
            <w:r w:rsidR="00021D64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</w:tbl>
    <w:p w:rsidR="00497A50" w:rsidRPr="00497A50" w:rsidRDefault="00497A50" w:rsidP="00497A50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 w:rsidRPr="00497A50">
        <w:rPr>
          <w:rFonts w:ascii="Arial" w:hAnsi="Arial" w:cs="Arial"/>
          <w:b/>
          <w:sz w:val="22"/>
          <w:szCs w:val="22"/>
        </w:rPr>
        <w:br/>
        <w:t>на формирование темпа ВВП в январе-</w:t>
      </w:r>
      <w:r w:rsidR="00BF36EA">
        <w:rPr>
          <w:rFonts w:ascii="Arial" w:hAnsi="Arial" w:cs="Arial"/>
          <w:b/>
          <w:sz w:val="22"/>
          <w:szCs w:val="22"/>
        </w:rPr>
        <w:t>августе</w:t>
      </w:r>
      <w:r w:rsidRPr="00497A50">
        <w:rPr>
          <w:rFonts w:ascii="Arial" w:hAnsi="Arial" w:cs="Arial"/>
          <w:b/>
          <w:sz w:val="22"/>
          <w:szCs w:val="22"/>
        </w:rPr>
        <w:t xml:space="preserve"> 2020 г.</w:t>
      </w:r>
    </w:p>
    <w:p w:rsidR="00497A50" w:rsidRPr="00497A50" w:rsidRDefault="00497A50" w:rsidP="00497A50">
      <w:pPr>
        <w:tabs>
          <w:tab w:val="left" w:pos="8789"/>
        </w:tabs>
        <w:spacing w:before="60" w:after="60" w:line="260" w:lineRule="exact"/>
        <w:jc w:val="center"/>
        <w:rPr>
          <w:rFonts w:ascii="Arial" w:hAnsi="Arial" w:cs="Arial"/>
          <w:i/>
        </w:rPr>
      </w:pPr>
      <w:r w:rsidRPr="00497A50">
        <w:rPr>
          <w:rFonts w:ascii="Arial" w:hAnsi="Arial" w:cs="Arial"/>
          <w:i/>
        </w:rPr>
        <w:t>(в процентах)</w:t>
      </w: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1792" behindDoc="0" locked="0" layoutInCell="1" allowOverlap="1" wp14:anchorId="285DCCB1" wp14:editId="318268A9">
            <wp:simplePos x="0" y="0"/>
            <wp:positionH relativeFrom="column">
              <wp:posOffset>-138430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497A50" w:rsidRPr="00497A50" w:rsidRDefault="008A17DA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.1pt;margin-top:10.85pt;width:122.95pt;height:25.5pt;z-index:251682816" filled="f" fillcolor="#f2f2f2 [3052]" stroked="f">
            <v:textbox style="mso-next-textbox:#_x0000_s1031">
              <w:txbxContent>
                <w:p w:rsidR="00497A50" w:rsidRPr="006B543C" w:rsidRDefault="00497A50" w:rsidP="00497A50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98,</w:t>
                  </w:r>
                  <w:r w:rsidR="002B0134">
                    <w:rPr>
                      <w:rFonts w:ascii="Arial" w:hAnsi="Arial" w:cs="Arial"/>
                      <w:sz w:val="18"/>
                    </w:rPr>
                    <w:t>7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Default="00497A50" w:rsidP="00497A50">
      <w:pPr>
        <w:tabs>
          <w:tab w:val="left" w:pos="8789"/>
        </w:tabs>
        <w:spacing w:before="120"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646EC5" w:rsidRPr="00497A50" w:rsidRDefault="00646EC5" w:rsidP="00497A50">
      <w:pPr>
        <w:tabs>
          <w:tab w:val="left" w:pos="8789"/>
        </w:tabs>
        <w:spacing w:before="120"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646EC5">
      <w:pPr>
        <w:tabs>
          <w:tab w:val="left" w:pos="8789"/>
        </w:tabs>
        <w:spacing w:before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sz w:val="26"/>
          <w:szCs w:val="26"/>
        </w:rPr>
        <w:t>2.2. Валовой региональный продукт (ВРП)</w:t>
      </w:r>
    </w:p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 xml:space="preserve">Валовой региональный продукт областей и </w:t>
      </w:r>
      <w:proofErr w:type="spellStart"/>
      <w:r w:rsidRPr="00497A50">
        <w:rPr>
          <w:rFonts w:ascii="Arial" w:hAnsi="Arial" w:cs="Arial"/>
          <w:b/>
          <w:sz w:val="22"/>
          <w:szCs w:val="22"/>
        </w:rPr>
        <w:t>г</w:t>
      </w:r>
      <w:proofErr w:type="gramStart"/>
      <w:r w:rsidRPr="00497A50">
        <w:rPr>
          <w:rFonts w:ascii="Arial" w:hAnsi="Arial" w:cs="Arial"/>
          <w:b/>
          <w:sz w:val="22"/>
          <w:szCs w:val="22"/>
        </w:rPr>
        <w:t>.М</w:t>
      </w:r>
      <w:proofErr w:type="gramEnd"/>
      <w:r w:rsidRPr="00497A50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0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971"/>
        <w:gridCol w:w="1276"/>
        <w:gridCol w:w="1417"/>
        <w:gridCol w:w="1134"/>
        <w:gridCol w:w="851"/>
        <w:gridCol w:w="1193"/>
      </w:tblGrid>
      <w:tr w:rsidR="00497A50" w:rsidRPr="00497A50" w:rsidTr="003F6C32">
        <w:trPr>
          <w:cantSplit/>
          <w:trHeight w:val="253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AE7C7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br w:type="page"/>
            </w:r>
            <w:r w:rsidRPr="00497A50">
              <w:rPr>
                <w:sz w:val="22"/>
                <w:szCs w:val="22"/>
              </w:rPr>
              <w:br w:type="page"/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Задание</w:t>
            </w:r>
            <w:proofErr w:type="gramStart"/>
            <w:r w:rsidRPr="003F6C32">
              <w:rPr>
                <w:sz w:val="18"/>
                <w:szCs w:val="18"/>
                <w:vertAlign w:val="superscript"/>
              </w:rPr>
              <w:t>1</w:t>
            </w:r>
            <w:proofErr w:type="gramEnd"/>
            <w:r w:rsidRPr="003F6C32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BF36EA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pacing w:val="-4"/>
                <w:sz w:val="22"/>
                <w:szCs w:val="22"/>
              </w:rPr>
              <w:t>Январь-</w:t>
            </w:r>
            <w:r w:rsidR="00BF36EA">
              <w:rPr>
                <w:spacing w:val="-4"/>
                <w:sz w:val="22"/>
                <w:szCs w:val="22"/>
              </w:rPr>
              <w:t>август</w:t>
            </w:r>
            <w:r w:rsidRPr="00497A50">
              <w:rPr>
                <w:spacing w:val="-4"/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2020 г.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BF36EA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  <w:u w:val="single"/>
              </w:rPr>
              <w:t>Справочно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январь-</w:t>
            </w:r>
            <w:r w:rsidR="00BF36EA">
              <w:rPr>
                <w:spacing w:val="-4"/>
                <w:sz w:val="22"/>
                <w:szCs w:val="22"/>
              </w:rPr>
              <w:t>август</w:t>
            </w:r>
            <w:r w:rsidRPr="00497A50">
              <w:rPr>
                <w:sz w:val="22"/>
                <w:szCs w:val="22"/>
              </w:rPr>
              <w:br/>
              <w:t>2019 г.</w:t>
            </w:r>
            <w:r w:rsidRPr="00497A50">
              <w:rPr>
                <w:sz w:val="22"/>
                <w:szCs w:val="22"/>
              </w:rPr>
              <w:br/>
            </w: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</w:t>
            </w:r>
            <w:proofErr w:type="gramStart"/>
            <w:r w:rsidRPr="00497A50">
              <w:rPr>
                <w:sz w:val="22"/>
                <w:szCs w:val="22"/>
              </w:rPr>
              <w:t>к</w:t>
            </w:r>
            <w:proofErr w:type="gramEnd"/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BF36EA">
              <w:rPr>
                <w:spacing w:val="-4"/>
                <w:sz w:val="22"/>
                <w:szCs w:val="22"/>
              </w:rPr>
              <w:t>августу</w:t>
            </w:r>
            <w:r w:rsidRPr="00497A50">
              <w:rPr>
                <w:sz w:val="22"/>
                <w:szCs w:val="22"/>
              </w:rPr>
              <w:br/>
              <w:t>2018 г.</w:t>
            </w:r>
          </w:p>
        </w:tc>
      </w:tr>
      <w:tr w:rsidR="00497A50" w:rsidRPr="00497A50" w:rsidTr="00BF36EA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AE7C70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2020 г. </w:t>
            </w:r>
          </w:p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 % к </w:t>
            </w:r>
          </w:p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январь-сентябрь</w:t>
            </w:r>
          </w:p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2020 г. </w:t>
            </w:r>
          </w:p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 % к </w:t>
            </w:r>
          </w:p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  <w:highlight w:val="yellow"/>
              </w:rPr>
            </w:pPr>
            <w:r w:rsidRPr="00497A50">
              <w:rPr>
                <w:sz w:val="22"/>
                <w:szCs w:val="22"/>
              </w:rPr>
              <w:t>январю-сентябрю 2019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BF36EA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</w:t>
            </w:r>
            <w:proofErr w:type="gramStart"/>
            <w:r w:rsidRPr="00497A50">
              <w:rPr>
                <w:sz w:val="22"/>
                <w:szCs w:val="22"/>
              </w:rPr>
              <w:t>к</w:t>
            </w:r>
            <w:proofErr w:type="gramEnd"/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BF36EA">
              <w:rPr>
                <w:spacing w:val="-4"/>
                <w:sz w:val="22"/>
                <w:szCs w:val="22"/>
              </w:rPr>
              <w:t>августу</w:t>
            </w:r>
            <w:r w:rsidRPr="00497A50">
              <w:rPr>
                <w:spacing w:val="-4"/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497A50">
              <w:rPr>
                <w:sz w:val="22"/>
                <w:szCs w:val="22"/>
              </w:rPr>
              <w:t>сопоста-вимых</w:t>
            </w:r>
            <w:proofErr w:type="spellEnd"/>
            <w:r w:rsidRPr="00497A50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AE7C7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ценах,</w:t>
            </w:r>
            <w:r w:rsidRPr="00497A50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497A50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AE7C70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AE7C70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-57" w:right="-68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876"/>
                <w:tab w:val="left" w:pos="1157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5C285B" w:rsidRDefault="00497A50" w:rsidP="005C285B">
            <w:pPr>
              <w:tabs>
                <w:tab w:val="left" w:pos="827"/>
              </w:tabs>
              <w:spacing w:before="30" w:after="3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98,</w:t>
            </w:r>
            <w:r w:rsidR="005C285B" w:rsidRPr="005C285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5C285B" w:rsidRDefault="005C285B" w:rsidP="005C285B">
            <w:pPr>
              <w:tabs>
                <w:tab w:val="left" w:pos="1157"/>
              </w:tabs>
              <w:spacing w:before="30" w:after="30" w:line="200" w:lineRule="exact"/>
              <w:ind w:right="102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93</w:t>
            </w:r>
            <w:r w:rsidR="00497A50" w:rsidRPr="005C285B">
              <w:rPr>
                <w:b/>
                <w:sz w:val="22"/>
                <w:szCs w:val="22"/>
              </w:rPr>
              <w:t> </w:t>
            </w:r>
            <w:r w:rsidRPr="005C285B">
              <w:rPr>
                <w:b/>
                <w:sz w:val="22"/>
                <w:szCs w:val="22"/>
              </w:rPr>
              <w:t>007</w:t>
            </w:r>
            <w:r w:rsidR="00497A50" w:rsidRPr="005C285B">
              <w:rPr>
                <w:b/>
                <w:sz w:val="22"/>
                <w:szCs w:val="22"/>
              </w:rPr>
              <w:t>,</w:t>
            </w:r>
            <w:r w:rsidRPr="005C285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5C285B" w:rsidRDefault="00497A50" w:rsidP="00AE7C70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EF5CBC" w:rsidRDefault="00497A50" w:rsidP="005C285B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EF5CBC">
              <w:rPr>
                <w:b/>
                <w:sz w:val="22"/>
                <w:szCs w:val="22"/>
              </w:rPr>
              <w:t>101,</w:t>
            </w:r>
            <w:r w:rsidR="005C285B" w:rsidRPr="00EF5CBC">
              <w:rPr>
                <w:b/>
                <w:sz w:val="22"/>
                <w:szCs w:val="22"/>
              </w:rPr>
              <w:t>1</w:t>
            </w: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 w:rsidRPr="00497A50">
              <w:rPr>
                <w:spacing w:val="-6"/>
                <w:sz w:val="22"/>
                <w:szCs w:val="22"/>
              </w:rPr>
              <w:t xml:space="preserve">Области и </w:t>
            </w:r>
            <w:proofErr w:type="spellStart"/>
            <w:r w:rsidRPr="00497A50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497A50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497A50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497A50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827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01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AE7C70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AE7C70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Брестская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 w:rsidR="005C285B">
              <w:rPr>
                <w:sz w:val="22"/>
                <w:szCs w:val="22"/>
              </w:rPr>
              <w:t>9</w:t>
            </w:r>
            <w:r w:rsidRPr="00497A50">
              <w:rPr>
                <w:sz w:val="22"/>
                <w:szCs w:val="22"/>
              </w:rPr>
              <w:t>,</w:t>
            </w:r>
            <w:r w:rsidR="005C285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5C285B" w:rsidP="005C285B">
            <w:pPr>
              <w:tabs>
                <w:tab w:val="left" w:pos="1157"/>
              </w:tabs>
              <w:spacing w:before="30" w:after="30" w:line="20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8 602,7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5C285B">
              <w:rPr>
                <w:sz w:val="22"/>
                <w:szCs w:val="22"/>
              </w:rPr>
              <w:t>2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</w:t>
            </w:r>
            <w:r w:rsidR="005C285B">
              <w:rPr>
                <w:sz w:val="22"/>
                <w:szCs w:val="22"/>
              </w:rPr>
              <w:t>1</w:t>
            </w: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Витебская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98,</w:t>
            </w:r>
            <w:r w:rsidR="005C285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5C285B" w:rsidP="005C285B">
            <w:pPr>
              <w:tabs>
                <w:tab w:val="left" w:pos="1157"/>
              </w:tabs>
              <w:spacing w:before="30" w:after="30" w:line="20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7 336,9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7,</w:t>
            </w:r>
            <w:r w:rsidR="005C285B">
              <w:rPr>
                <w:sz w:val="22"/>
                <w:szCs w:val="22"/>
              </w:rPr>
              <w:t>9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98,</w:t>
            </w:r>
            <w:r w:rsidR="005C285B">
              <w:rPr>
                <w:sz w:val="22"/>
                <w:szCs w:val="22"/>
              </w:rPr>
              <w:t>7</w:t>
            </w: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Гомельская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98,</w:t>
            </w:r>
            <w:r w:rsidR="005C285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5C285B" w:rsidP="005C285B">
            <w:pPr>
              <w:tabs>
                <w:tab w:val="left" w:pos="1157"/>
              </w:tabs>
              <w:spacing w:before="30" w:after="30" w:line="20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9 421,8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AE7C70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10,1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100,</w:t>
            </w:r>
            <w:r w:rsidR="005C285B">
              <w:rPr>
                <w:sz w:val="22"/>
                <w:szCs w:val="22"/>
              </w:rPr>
              <w:t>4</w:t>
            </w: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Гродненская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5C285B" w:rsidP="005C285B">
            <w:pPr>
              <w:tabs>
                <w:tab w:val="left" w:pos="1157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5C285B" w:rsidP="005C285B">
            <w:pPr>
              <w:tabs>
                <w:tab w:val="left" w:pos="1157"/>
              </w:tabs>
              <w:spacing w:before="30" w:after="30" w:line="20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7 459,8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5C285B" w:rsidP="005C285B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97A50"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51564A" w:rsidP="00AE7C70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497A50">
              <w:rPr>
                <w:sz w:val="22"/>
                <w:szCs w:val="22"/>
              </w:rPr>
              <w:t>г</w:t>
            </w:r>
            <w:proofErr w:type="gramStart"/>
            <w:r w:rsidRPr="00497A50">
              <w:rPr>
                <w:sz w:val="22"/>
                <w:szCs w:val="22"/>
              </w:rPr>
              <w:t>.М</w:t>
            </w:r>
            <w:proofErr w:type="gramEnd"/>
            <w:r w:rsidRPr="00497A5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98,</w:t>
            </w:r>
            <w:r w:rsidR="005C285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10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</w:t>
            </w:r>
            <w:r w:rsidR="005C285B">
              <w:rPr>
                <w:sz w:val="22"/>
                <w:szCs w:val="22"/>
              </w:rPr>
              <w:t>6 764,7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</w:t>
            </w:r>
            <w:r w:rsidR="005C285B">
              <w:rPr>
                <w:sz w:val="22"/>
                <w:szCs w:val="22"/>
              </w:rPr>
              <w:t>8</w:t>
            </w:r>
            <w:r w:rsidRPr="00497A50">
              <w:rPr>
                <w:sz w:val="22"/>
                <w:szCs w:val="22"/>
              </w:rPr>
              <w:t>,</w:t>
            </w:r>
            <w:r w:rsidR="005C285B">
              <w:rPr>
                <w:sz w:val="22"/>
                <w:szCs w:val="22"/>
              </w:rPr>
              <w:t>8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D357C1" w:rsidP="00AE7C70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Минская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100,5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 w:rsidR="005C285B">
              <w:rPr>
                <w:sz w:val="22"/>
                <w:szCs w:val="22"/>
              </w:rPr>
              <w:t>8</w:t>
            </w:r>
            <w:r w:rsidRPr="00497A50">
              <w:rPr>
                <w:sz w:val="22"/>
                <w:szCs w:val="22"/>
              </w:rPr>
              <w:t>,</w:t>
            </w:r>
            <w:r w:rsidR="005C285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10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</w:t>
            </w:r>
            <w:r w:rsidR="005C285B">
              <w:rPr>
                <w:sz w:val="22"/>
                <w:szCs w:val="22"/>
              </w:rPr>
              <w:t>3 722,9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14,</w:t>
            </w:r>
            <w:r w:rsidR="005C285B">
              <w:rPr>
                <w:sz w:val="22"/>
                <w:szCs w:val="22"/>
              </w:rPr>
              <w:t>8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D357C1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D357C1">
              <w:rPr>
                <w:sz w:val="22"/>
                <w:szCs w:val="22"/>
              </w:rPr>
              <w:t>5</w:t>
            </w:r>
            <w:r w:rsidRPr="00497A50">
              <w:rPr>
                <w:sz w:val="22"/>
                <w:szCs w:val="22"/>
              </w:rPr>
              <w:t>,</w:t>
            </w:r>
            <w:r w:rsidR="00D357C1">
              <w:rPr>
                <w:sz w:val="22"/>
                <w:szCs w:val="22"/>
              </w:rPr>
              <w:t>4</w:t>
            </w: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Могилевская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 w:rsidR="005C285B">
              <w:rPr>
                <w:sz w:val="22"/>
                <w:szCs w:val="22"/>
              </w:rPr>
              <w:t>9</w:t>
            </w:r>
            <w:r w:rsidRPr="00497A50">
              <w:rPr>
                <w:sz w:val="22"/>
                <w:szCs w:val="22"/>
              </w:rPr>
              <w:t>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1157"/>
              </w:tabs>
              <w:spacing w:before="30" w:after="30" w:line="200" w:lineRule="exact"/>
              <w:ind w:right="10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5 </w:t>
            </w:r>
            <w:r w:rsidR="005C285B">
              <w:rPr>
                <w:sz w:val="22"/>
                <w:szCs w:val="22"/>
              </w:rPr>
              <w:t>960</w:t>
            </w:r>
            <w:r w:rsidRPr="00497A50">
              <w:rPr>
                <w:sz w:val="22"/>
                <w:szCs w:val="22"/>
              </w:rPr>
              <w:t>,</w:t>
            </w:r>
            <w:r w:rsidR="005C285B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6,</w:t>
            </w:r>
            <w:r w:rsidR="005C285B">
              <w:rPr>
                <w:sz w:val="22"/>
                <w:szCs w:val="22"/>
              </w:rPr>
              <w:t>4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D357C1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D357C1">
              <w:rPr>
                <w:sz w:val="22"/>
                <w:szCs w:val="22"/>
              </w:rPr>
              <w:t>0</w:t>
            </w:r>
            <w:r w:rsidRPr="00497A50">
              <w:rPr>
                <w:sz w:val="22"/>
                <w:szCs w:val="22"/>
              </w:rPr>
              <w:t>,</w:t>
            </w:r>
            <w:r w:rsidR="00D357C1">
              <w:rPr>
                <w:sz w:val="22"/>
                <w:szCs w:val="22"/>
              </w:rPr>
              <w:t>1</w:t>
            </w:r>
          </w:p>
        </w:tc>
      </w:tr>
      <w:tr w:rsidR="00497A50" w:rsidRPr="00497A50" w:rsidTr="00BF36EA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spacing w:before="30" w:after="30" w:line="200" w:lineRule="exact"/>
              <w:ind w:left="73"/>
              <w:outlineLvl w:val="8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нераспределенная часть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7A50" w:rsidRPr="00497A50" w:rsidRDefault="00497A50" w:rsidP="00AE7C70">
            <w:pPr>
              <w:spacing w:before="30" w:after="3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97A50" w:rsidRPr="00497A50" w:rsidRDefault="00497A50" w:rsidP="00AE7C7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AE7C70">
            <w:pPr>
              <w:tabs>
                <w:tab w:val="left" w:pos="827"/>
                <w:tab w:val="left" w:pos="1529"/>
              </w:tabs>
              <w:spacing w:before="30" w:after="3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spacing w:before="30" w:after="30" w:line="200" w:lineRule="exact"/>
              <w:ind w:right="101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</w:t>
            </w:r>
            <w:r w:rsidR="005C285B">
              <w:rPr>
                <w:sz w:val="22"/>
                <w:szCs w:val="22"/>
              </w:rPr>
              <w:t>3</w:t>
            </w:r>
            <w:r w:rsidRPr="00497A50">
              <w:rPr>
                <w:sz w:val="22"/>
                <w:szCs w:val="22"/>
              </w:rPr>
              <w:t> </w:t>
            </w:r>
            <w:r w:rsidR="005C285B">
              <w:rPr>
                <w:sz w:val="22"/>
                <w:szCs w:val="22"/>
              </w:rPr>
              <w:t>738</w:t>
            </w:r>
            <w:r w:rsidRPr="00497A50">
              <w:rPr>
                <w:sz w:val="22"/>
                <w:szCs w:val="22"/>
              </w:rPr>
              <w:t>,</w:t>
            </w:r>
            <w:r w:rsidR="005C285B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5C285B">
            <w:pPr>
              <w:tabs>
                <w:tab w:val="left" w:pos="891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</w:t>
            </w:r>
            <w:r w:rsidR="005C285B">
              <w:rPr>
                <w:sz w:val="22"/>
                <w:szCs w:val="22"/>
              </w:rPr>
              <w:t>4</w:t>
            </w:r>
            <w:r w:rsidRPr="00497A50">
              <w:rPr>
                <w:sz w:val="22"/>
                <w:szCs w:val="22"/>
              </w:rPr>
              <w:t>,</w:t>
            </w:r>
            <w:r w:rsidR="005C285B">
              <w:rPr>
                <w:sz w:val="22"/>
                <w:szCs w:val="22"/>
              </w:rPr>
              <w:t>8</w:t>
            </w:r>
          </w:p>
        </w:tc>
        <w:tc>
          <w:tcPr>
            <w:tcW w:w="11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A50" w:rsidRPr="00497A50" w:rsidRDefault="00497A50" w:rsidP="00AE7C70">
            <w:pPr>
              <w:tabs>
                <w:tab w:val="left" w:pos="1529"/>
              </w:tabs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</w:tbl>
    <w:p w:rsidR="00497A50" w:rsidRPr="00E538DE" w:rsidRDefault="00497A50" w:rsidP="00E61046">
      <w:pPr>
        <w:tabs>
          <w:tab w:val="left" w:pos="1843"/>
          <w:tab w:val="left" w:pos="3402"/>
          <w:tab w:val="left" w:pos="4820"/>
          <w:tab w:val="left" w:pos="4962"/>
          <w:tab w:val="left" w:pos="5529"/>
        </w:tabs>
        <w:spacing w:line="160" w:lineRule="exact"/>
        <w:ind w:left="1843" w:hanging="1843"/>
        <w:contextualSpacing/>
        <w:rPr>
          <w:sz w:val="16"/>
          <w:szCs w:val="22"/>
        </w:rPr>
      </w:pPr>
      <w:r w:rsidRPr="00E538DE">
        <w:rPr>
          <w:sz w:val="16"/>
          <w:szCs w:val="22"/>
        </w:rPr>
        <w:t>______________________</w:t>
      </w:r>
      <w:r w:rsidR="00E61046" w:rsidRPr="00E538DE">
        <w:rPr>
          <w:sz w:val="16"/>
          <w:szCs w:val="22"/>
        </w:rPr>
        <w:t>_____</w:t>
      </w:r>
    </w:p>
    <w:p w:rsidR="00497A50" w:rsidRPr="00497A50" w:rsidRDefault="00497A50" w:rsidP="00497A50">
      <w:pPr>
        <w:tabs>
          <w:tab w:val="left" w:pos="4820"/>
          <w:tab w:val="left" w:pos="4962"/>
          <w:tab w:val="left" w:pos="5529"/>
        </w:tabs>
        <w:spacing w:before="240" w:line="260" w:lineRule="exact"/>
        <w:ind w:left="720"/>
        <w:contextualSpacing/>
        <w:rPr>
          <w:rFonts w:ascii="Arial" w:hAnsi="Arial" w:cs="Arial"/>
          <w:b/>
          <w:sz w:val="22"/>
          <w:szCs w:val="22"/>
        </w:rPr>
      </w:pPr>
      <w:r w:rsidRPr="003F6C32">
        <w:rPr>
          <w:sz w:val="18"/>
          <w:szCs w:val="18"/>
          <w:vertAlign w:val="superscript"/>
        </w:rPr>
        <w:t>1)</w:t>
      </w:r>
      <w:r w:rsidRPr="00497A50">
        <w:rPr>
          <w:szCs w:val="22"/>
        </w:rPr>
        <w:t xml:space="preserve"> По постановлению Совета Министров Республики Беларусь от 27 декабря 2019 г. № 921.</w:t>
      </w:r>
    </w:p>
    <w:p w:rsidR="002C0A51" w:rsidRPr="005C6481" w:rsidRDefault="002C0A51" w:rsidP="009D2DBD">
      <w:pPr>
        <w:tabs>
          <w:tab w:val="left" w:pos="4820"/>
          <w:tab w:val="left" w:pos="4962"/>
          <w:tab w:val="left" w:pos="5529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на формирование темпа ВВП</w:t>
      </w:r>
      <w:r>
        <w:rPr>
          <w:rFonts w:ascii="Arial" w:hAnsi="Arial" w:cs="Arial"/>
          <w:b/>
          <w:sz w:val="22"/>
          <w:szCs w:val="22"/>
        </w:rPr>
        <w:br/>
      </w:r>
      <w:r w:rsidRPr="00433E86">
        <w:rPr>
          <w:rFonts w:ascii="Arial" w:hAnsi="Arial" w:cs="Arial"/>
          <w:b/>
          <w:sz w:val="22"/>
          <w:szCs w:val="22"/>
        </w:rPr>
        <w:t>в январе-</w:t>
      </w:r>
      <w:r w:rsidR="00BF36EA">
        <w:rPr>
          <w:rFonts w:ascii="Arial" w:hAnsi="Arial" w:cs="Arial"/>
          <w:b/>
          <w:sz w:val="22"/>
          <w:szCs w:val="22"/>
        </w:rPr>
        <w:t>августе</w:t>
      </w:r>
      <w:r w:rsidRPr="00433E8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2020</w:t>
      </w:r>
      <w:r w:rsidRPr="005C6481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2C0A51" w:rsidRDefault="002C0A51" w:rsidP="002C0A51">
      <w:pPr>
        <w:tabs>
          <w:tab w:val="left" w:pos="6237"/>
        </w:tabs>
        <w:spacing w:after="60" w:line="24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84864" behindDoc="0" locked="0" layoutInCell="1" allowOverlap="1" wp14:anchorId="568118AE" wp14:editId="319CB0BD">
            <wp:simplePos x="0" y="0"/>
            <wp:positionH relativeFrom="column">
              <wp:posOffset>-81280</wp:posOffset>
            </wp:positionH>
            <wp:positionV relativeFrom="paragraph">
              <wp:posOffset>90805</wp:posOffset>
            </wp:positionV>
            <wp:extent cx="5895975" cy="1790700"/>
            <wp:effectExtent l="0" t="0" r="0" b="0"/>
            <wp:wrapNone/>
            <wp:docPr id="4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>
        <w:rPr>
          <w:rFonts w:ascii="Arial" w:hAnsi="Arial" w:cs="Arial"/>
          <w:i/>
        </w:rPr>
        <w:t>(</w:t>
      </w:r>
      <w:r w:rsidRPr="00CE5956">
        <w:rPr>
          <w:rFonts w:ascii="Arial" w:hAnsi="Arial" w:cs="Arial"/>
          <w:i/>
        </w:rPr>
        <w:t xml:space="preserve">в </w:t>
      </w:r>
      <w:r>
        <w:rPr>
          <w:rFonts w:ascii="Arial" w:hAnsi="Arial" w:cs="Arial"/>
          <w:i/>
        </w:rPr>
        <w:t>процентах)</w:t>
      </w:r>
    </w:p>
    <w:p w:rsidR="002C0A51" w:rsidRDefault="002C0A51" w:rsidP="002C0A51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2C0A51" w:rsidRDefault="002C0A51" w:rsidP="002C0A51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2C0A51" w:rsidRDefault="002C0A51" w:rsidP="002C0A51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2C0A51" w:rsidRDefault="002C0A51" w:rsidP="002C0A51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97A50" w:rsidRPr="00497A50" w:rsidRDefault="00497A50" w:rsidP="00497A50">
      <w:pPr>
        <w:jc w:val="center"/>
        <w:rPr>
          <w:b/>
          <w:sz w:val="26"/>
          <w:szCs w:val="26"/>
        </w:rPr>
      </w:pPr>
    </w:p>
    <w:p w:rsidR="00A77E2A" w:rsidRDefault="00A77E2A" w:rsidP="00A834F7">
      <w:pPr>
        <w:pStyle w:val="ac"/>
        <w:spacing w:before="0" w:after="0" w:line="220" w:lineRule="exact"/>
        <w:ind w:firstLine="0"/>
        <w:rPr>
          <w:szCs w:val="22"/>
        </w:rPr>
      </w:pPr>
    </w:p>
    <w:p w:rsidR="009D2DBD" w:rsidRDefault="009D2DBD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br w:type="page"/>
      </w:r>
    </w:p>
    <w:p w:rsidR="00180578" w:rsidRDefault="00180578" w:rsidP="00180578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C519A2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180578" w:rsidRDefault="00180578" w:rsidP="00180578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F36EA">
        <w:rPr>
          <w:sz w:val="26"/>
        </w:rPr>
        <w:t>январе-июле</w:t>
      </w:r>
      <w:r w:rsidR="00EB1EF7" w:rsidRPr="00EB1EF7">
        <w:rPr>
          <w:sz w:val="26"/>
        </w:rPr>
        <w:t xml:space="preserve"> </w:t>
      </w:r>
      <w:r>
        <w:rPr>
          <w:sz w:val="26"/>
        </w:rPr>
        <w:t xml:space="preserve">2020 г.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D8316A">
        <w:rPr>
          <w:sz w:val="26"/>
        </w:rPr>
        <w:br/>
      </w:r>
      <w:r>
        <w:rPr>
          <w:sz w:val="26"/>
        </w:rPr>
        <w:t xml:space="preserve">в сопоставимых ценах </w:t>
      </w:r>
      <w:r w:rsidRPr="00F010CA">
        <w:rPr>
          <w:sz w:val="26"/>
        </w:rPr>
        <w:t>9</w:t>
      </w:r>
      <w:r w:rsidR="001D45F8" w:rsidRPr="00F010CA">
        <w:rPr>
          <w:sz w:val="26"/>
        </w:rPr>
        <w:t>8</w:t>
      </w:r>
      <w:r w:rsidRPr="00F010CA">
        <w:rPr>
          <w:sz w:val="26"/>
        </w:rPr>
        <w:t>,</w:t>
      </w:r>
      <w:r w:rsidR="00F010CA" w:rsidRPr="00F010CA">
        <w:rPr>
          <w:sz w:val="26"/>
        </w:rPr>
        <w:t>7</w:t>
      </w:r>
      <w:r w:rsidRPr="00D874EC">
        <w:rPr>
          <w:sz w:val="26"/>
        </w:rPr>
        <w:t>%</w:t>
      </w:r>
      <w:r>
        <w:rPr>
          <w:sz w:val="26"/>
        </w:rPr>
        <w:t xml:space="preserve"> к уровню </w:t>
      </w:r>
      <w:r w:rsidR="00BF36EA">
        <w:rPr>
          <w:sz w:val="26"/>
        </w:rPr>
        <w:t>января-июля</w:t>
      </w:r>
      <w:r w:rsidRPr="00433E86">
        <w:rPr>
          <w:sz w:val="26"/>
        </w:rPr>
        <w:t xml:space="preserve"> </w:t>
      </w:r>
      <w:r w:rsidRPr="008A34E8">
        <w:rPr>
          <w:sz w:val="26"/>
        </w:rPr>
        <w:t>20</w:t>
      </w:r>
      <w:r>
        <w:rPr>
          <w:sz w:val="26"/>
        </w:rPr>
        <w:t>19</w:t>
      </w:r>
      <w:r>
        <w:rPr>
          <w:sz w:val="26"/>
          <w:lang w:val="en-US"/>
        </w:rPr>
        <w:t> </w:t>
      </w:r>
      <w:r>
        <w:rPr>
          <w:sz w:val="26"/>
        </w:rPr>
        <w:t xml:space="preserve">г., темп роста реальной заработной платы – </w:t>
      </w:r>
      <w:r w:rsidRPr="00F010CA">
        <w:rPr>
          <w:sz w:val="26"/>
        </w:rPr>
        <w:t>10</w:t>
      </w:r>
      <w:r w:rsidR="00EB1EF7" w:rsidRPr="00F010CA">
        <w:rPr>
          <w:sz w:val="26"/>
        </w:rPr>
        <w:t>8</w:t>
      </w:r>
      <w:r w:rsidRPr="00F010CA">
        <w:rPr>
          <w:sz w:val="26"/>
        </w:rPr>
        <w:t>,</w:t>
      </w:r>
      <w:r w:rsidR="001D45F8" w:rsidRPr="00F010CA">
        <w:rPr>
          <w:sz w:val="26"/>
        </w:rPr>
        <w:t>2</w:t>
      </w:r>
      <w:r w:rsidRPr="00D874EC">
        <w:rPr>
          <w:sz w:val="26"/>
        </w:rPr>
        <w:t>%.</w:t>
      </w:r>
    </w:p>
    <w:p w:rsidR="00180578" w:rsidRDefault="00180578" w:rsidP="00337BF3">
      <w:pPr>
        <w:pStyle w:val="7"/>
        <w:spacing w:before="16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</w:p>
    <w:p w:rsidR="00180578" w:rsidRPr="00E206E7" w:rsidRDefault="00180578" w:rsidP="00180578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CB75F6" w:rsidRDefault="00091911" w:rsidP="00CB75F6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8960" behindDoc="0" locked="0" layoutInCell="1" allowOverlap="1" wp14:anchorId="0D8BAC85" wp14:editId="426616AD">
            <wp:simplePos x="0" y="0"/>
            <wp:positionH relativeFrom="column">
              <wp:posOffset>-357505</wp:posOffset>
            </wp:positionH>
            <wp:positionV relativeFrom="paragraph">
              <wp:posOffset>4445</wp:posOffset>
            </wp:positionV>
            <wp:extent cx="6572250" cy="2600325"/>
            <wp:effectExtent l="0" t="0" r="0" b="0"/>
            <wp:wrapNone/>
            <wp:docPr id="8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3744E1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spacing w:line="280" w:lineRule="exact"/>
        <w:ind w:firstLine="709"/>
        <w:jc w:val="both"/>
        <w:rPr>
          <w:sz w:val="26"/>
          <w:szCs w:val="26"/>
        </w:rPr>
      </w:pPr>
    </w:p>
    <w:p w:rsidR="00CB75F6" w:rsidRPr="004D30B5" w:rsidRDefault="00CB75F6" w:rsidP="00CB75F6">
      <w:pPr>
        <w:spacing w:line="280" w:lineRule="exact"/>
        <w:jc w:val="both"/>
      </w:pPr>
    </w:p>
    <w:p w:rsidR="00CB75F6" w:rsidRDefault="00CB75F6" w:rsidP="00CB75F6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091911" w:rsidRDefault="00091911" w:rsidP="00CB75F6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CB75F6" w:rsidRPr="00506304" w:rsidRDefault="00CB75F6" w:rsidP="00CB75F6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6"/>
        <w:gridCol w:w="1276"/>
        <w:gridCol w:w="1417"/>
        <w:gridCol w:w="1418"/>
        <w:gridCol w:w="1417"/>
      </w:tblGrid>
      <w:tr w:rsidR="00960108" w:rsidRPr="008466CD" w:rsidTr="007E3B2A"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960108" w:rsidRPr="008466CD" w:rsidRDefault="00960108" w:rsidP="005E530E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108" w:rsidRDefault="00597CA0" w:rsidP="005E530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0108" w:rsidRDefault="00960108" w:rsidP="00BF36E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0108" w:rsidRPr="006E63E7" w:rsidRDefault="00960108" w:rsidP="006E63E7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</w:t>
            </w:r>
            <w:proofErr w:type="gramStart"/>
            <w:r w:rsidRPr="006E63E7">
              <w:rPr>
                <w:spacing w:val="-3"/>
                <w:sz w:val="22"/>
                <w:szCs w:val="22"/>
              </w:rPr>
              <w:t>производитель-</w:t>
            </w:r>
            <w:proofErr w:type="spellStart"/>
            <w:r w:rsidRPr="006E63E7">
              <w:rPr>
                <w:spacing w:val="-3"/>
                <w:sz w:val="22"/>
                <w:szCs w:val="22"/>
              </w:rPr>
              <w:t>ности</w:t>
            </w:r>
            <w:proofErr w:type="spellEnd"/>
            <w:proofErr w:type="gramEnd"/>
            <w:r w:rsidRPr="006E63E7">
              <w:rPr>
                <w:spacing w:val="-3"/>
                <w:sz w:val="22"/>
                <w:szCs w:val="22"/>
              </w:rPr>
              <w:t xml:space="preserve"> труда </w:t>
            </w:r>
            <w:r w:rsidRPr="006E63E7">
              <w:rPr>
                <w:spacing w:val="-3"/>
                <w:sz w:val="22"/>
                <w:szCs w:val="22"/>
              </w:rPr>
              <w:br/>
              <w:t>и реальной заработной платы, k</w:t>
            </w:r>
          </w:p>
        </w:tc>
      </w:tr>
      <w:tr w:rsidR="00CB75F6" w:rsidRPr="008466CD" w:rsidTr="007E3B2A">
        <w:trPr>
          <w:trHeight w:val="390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60" w:after="6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CB75F6" w:rsidP="005E530E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="001D45F8">
              <w:rPr>
                <w:vertAlign w:val="superscript"/>
              </w:rPr>
              <w:t>1</w:t>
            </w:r>
            <w:proofErr w:type="gramEnd"/>
            <w:r w:rsidRPr="00D02F1F">
              <w:rPr>
                <w:vertAlign w:val="superscript"/>
              </w:rPr>
              <w:t>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75F6" w:rsidRPr="003D4768" w:rsidRDefault="00CB75F6" w:rsidP="00BF36EA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CB75F6" w:rsidRPr="008466CD" w:rsidTr="007E3B2A">
        <w:tc>
          <w:tcPr>
            <w:tcW w:w="2268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60" w:after="6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CB75F6" w:rsidP="005E530E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646EC5" w:rsidP="00BF36EA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F36EA">
              <w:rPr>
                <w:sz w:val="22"/>
                <w:szCs w:val="22"/>
              </w:rPr>
              <w:t>нварь-сентябрь</w:t>
            </w:r>
            <w:r w:rsidR="00CB75F6">
              <w:rPr>
                <w:sz w:val="22"/>
                <w:szCs w:val="22"/>
              </w:rPr>
              <w:br/>
              <w:t xml:space="preserve">2020 г. </w:t>
            </w:r>
            <w:r w:rsidR="00CB75F6">
              <w:rPr>
                <w:sz w:val="22"/>
                <w:szCs w:val="22"/>
              </w:rPr>
              <w:br/>
            </w:r>
            <w:proofErr w:type="gramStart"/>
            <w:r w:rsidR="00CB75F6">
              <w:rPr>
                <w:sz w:val="22"/>
                <w:szCs w:val="22"/>
              </w:rPr>
              <w:t>в</w:t>
            </w:r>
            <w:proofErr w:type="gramEnd"/>
            <w:r w:rsidR="00CB75F6">
              <w:rPr>
                <w:sz w:val="22"/>
                <w:szCs w:val="22"/>
              </w:rPr>
              <w:t xml:space="preserve"> % </w:t>
            </w:r>
            <w:proofErr w:type="gramStart"/>
            <w:r w:rsidR="00CB75F6">
              <w:rPr>
                <w:sz w:val="22"/>
                <w:szCs w:val="22"/>
              </w:rPr>
              <w:t>к</w:t>
            </w:r>
            <w:proofErr w:type="gramEnd"/>
            <w:r w:rsidR="00CB75F6">
              <w:rPr>
                <w:sz w:val="22"/>
                <w:szCs w:val="22"/>
              </w:rPr>
              <w:t xml:space="preserve"> </w:t>
            </w:r>
            <w:r w:rsidR="00CB75F6"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январю-сентябрю</w:t>
            </w:r>
            <w:r w:rsidR="00CB75F6" w:rsidRPr="00353D3A">
              <w:rPr>
                <w:sz w:val="22"/>
                <w:szCs w:val="22"/>
              </w:rPr>
              <w:t xml:space="preserve"> </w:t>
            </w:r>
            <w:r w:rsidR="00CB75F6">
              <w:rPr>
                <w:sz w:val="22"/>
                <w:szCs w:val="22"/>
              </w:rPr>
              <w:t>2019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CB75F6" w:rsidRPr="008466CD" w:rsidTr="007E3B2A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4F283F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4F283F" w:rsidRDefault="00BF36EA" w:rsidP="005E530E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A767CC" w:rsidRDefault="00CB75F6" w:rsidP="00A767CC">
            <w:pPr>
              <w:spacing w:before="90" w:after="9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98,</w:t>
            </w:r>
            <w:r w:rsidR="00A767CC" w:rsidRPr="00A767C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A767CC" w:rsidRDefault="00CB75F6" w:rsidP="005E530E">
            <w:pPr>
              <w:spacing w:before="90" w:after="9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10</w:t>
            </w:r>
            <w:r w:rsidR="00EE0DD6" w:rsidRPr="00A767CC">
              <w:rPr>
                <w:b/>
                <w:sz w:val="22"/>
                <w:szCs w:val="22"/>
              </w:rPr>
              <w:t>8</w:t>
            </w:r>
            <w:r w:rsidRPr="00A767CC">
              <w:rPr>
                <w:b/>
                <w:sz w:val="22"/>
                <w:szCs w:val="22"/>
              </w:rPr>
              <w:t>,</w:t>
            </w:r>
            <w:r w:rsidR="00EE0DD6" w:rsidRPr="00A767C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A767CC" w:rsidRDefault="00CB75F6" w:rsidP="005E530E">
            <w:pPr>
              <w:spacing w:before="90" w:after="90" w:line="220" w:lineRule="exact"/>
              <w:jc w:val="center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0,91</w:t>
            </w:r>
          </w:p>
        </w:tc>
      </w:tr>
      <w:tr w:rsidR="00CB75F6" w:rsidRPr="008466CD" w:rsidTr="007E3B2A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06330E" w:rsidRDefault="00CB75F6" w:rsidP="005E530E">
            <w:pPr>
              <w:spacing w:before="90" w:after="9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5E530E">
            <w:pPr>
              <w:spacing w:before="90" w:after="9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5E530E">
            <w:pPr>
              <w:spacing w:before="90" w:after="9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CB75F6" w:rsidRPr="008466CD" w:rsidTr="007E3B2A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285BDC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285BDC" w:rsidRDefault="00BF36EA" w:rsidP="003D03DC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D03DC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A767CC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A767CC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5E530E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E0DD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EE0DD6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5E530E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E0DD6">
              <w:rPr>
                <w:sz w:val="22"/>
                <w:szCs w:val="22"/>
              </w:rPr>
              <w:t>1</w:t>
            </w:r>
          </w:p>
        </w:tc>
      </w:tr>
      <w:tr w:rsidR="00CB75F6" w:rsidRPr="008466CD" w:rsidTr="007E3B2A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3D03DC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D03DC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A767CC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767C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767C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E0DD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767CC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767CC">
              <w:rPr>
                <w:sz w:val="22"/>
                <w:szCs w:val="22"/>
              </w:rPr>
              <w:t>1</w:t>
            </w:r>
          </w:p>
        </w:tc>
      </w:tr>
      <w:tr w:rsidR="00CB75F6" w:rsidRPr="008466CD" w:rsidTr="007E3B2A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3D03DC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D03DC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A767CC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767C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A767CC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767C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A767CC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5E530E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CB75F6" w:rsidRPr="008466CD" w:rsidTr="007E3B2A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3D03DC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D03D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3D03DC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A767CC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767C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A767C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A767CC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B32BFC" w:rsidRDefault="00CB75F6" w:rsidP="005E530E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CB75F6" w:rsidRPr="008466CD" w:rsidTr="007E3B2A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3D03DC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D03D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D03DC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A767CC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767C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A767CC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A767CC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767CC">
              <w:rPr>
                <w:sz w:val="22"/>
                <w:szCs w:val="22"/>
              </w:rPr>
              <w:t>0</w:t>
            </w:r>
          </w:p>
        </w:tc>
      </w:tr>
      <w:tr w:rsidR="00CB75F6" w:rsidRPr="008466CD" w:rsidTr="007E3B2A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8466CD" w:rsidRDefault="003D03DC" w:rsidP="005E530E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A767CC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767C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A767CC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5E530E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EE0DD6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767CC">
              <w:rPr>
                <w:sz w:val="22"/>
                <w:szCs w:val="22"/>
              </w:rPr>
              <w:t>2</w:t>
            </w:r>
          </w:p>
        </w:tc>
      </w:tr>
      <w:tr w:rsidR="00CB75F6" w:rsidRPr="008466CD" w:rsidTr="007E3B2A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90"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CB75F6" w:rsidRPr="008466CD" w:rsidRDefault="00CB75F6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5F6" w:rsidRPr="008466CD" w:rsidRDefault="00CB75F6" w:rsidP="003D03DC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D03DC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75F6" w:rsidRDefault="00CB75F6" w:rsidP="00A767CC">
            <w:pPr>
              <w:spacing w:before="90" w:after="9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767CC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A767CC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5F6" w:rsidRPr="0006330E" w:rsidRDefault="00CB75F6" w:rsidP="00A767CC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767CC">
              <w:rPr>
                <w:sz w:val="22"/>
                <w:szCs w:val="22"/>
              </w:rPr>
              <w:t>3</w:t>
            </w:r>
          </w:p>
        </w:tc>
      </w:tr>
    </w:tbl>
    <w:p w:rsidR="00CB75F6" w:rsidRPr="0093757C" w:rsidRDefault="00CB75F6" w:rsidP="00E61046">
      <w:pPr>
        <w:pStyle w:val="ac"/>
        <w:tabs>
          <w:tab w:val="left" w:pos="2268"/>
          <w:tab w:val="left" w:pos="2552"/>
        </w:tabs>
        <w:spacing w:before="40" w:after="40" w:line="18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E61046">
        <w:rPr>
          <w:szCs w:val="22"/>
        </w:rPr>
        <w:t>______</w:t>
      </w:r>
    </w:p>
    <w:p w:rsidR="00CB75F6" w:rsidRPr="00DA48D0" w:rsidRDefault="00EE0DD6" w:rsidP="00CB75F6">
      <w:pPr>
        <w:pStyle w:val="a4"/>
        <w:tabs>
          <w:tab w:val="left" w:pos="993"/>
          <w:tab w:val="left" w:pos="6663"/>
        </w:tabs>
        <w:spacing w:before="40" w:line="200" w:lineRule="exact"/>
        <w:ind w:firstLine="709"/>
        <w:jc w:val="both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</w:t>
      </w:r>
      <w:r w:rsidR="00CB75F6">
        <w:rPr>
          <w:vertAlign w:val="superscript"/>
          <w:lang w:val="ru-RU"/>
        </w:rPr>
        <w:t>)</w:t>
      </w:r>
      <w:r w:rsidR="00CB75F6">
        <w:rPr>
          <w:lang w:val="ru-RU"/>
        </w:rPr>
        <w:t> </w:t>
      </w:r>
      <w:r w:rsidR="00CB75F6" w:rsidRPr="00DA48D0">
        <w:rPr>
          <w:szCs w:val="22"/>
          <w:lang w:val="ru-RU"/>
        </w:rPr>
        <w:t>По постановлению Совета Министров Республики Беларусь от 27 декабря 2019 г. № 921.</w:t>
      </w:r>
    </w:p>
    <w:sectPr w:rsidR="00CB75F6" w:rsidRPr="00DA48D0" w:rsidSect="004B625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7DA" w:rsidRDefault="008A17DA">
      <w:r>
        <w:separator/>
      </w:r>
    </w:p>
  </w:endnote>
  <w:endnote w:type="continuationSeparator" w:id="0">
    <w:p w:rsidR="008A17DA" w:rsidRDefault="008A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ACF" w:rsidRDefault="006B4A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B4ACF" w:rsidRDefault="006B4AC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ACF" w:rsidRDefault="006B4A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B6253">
      <w:rPr>
        <w:rStyle w:val="a3"/>
        <w:noProof/>
      </w:rPr>
      <w:t>3</w:t>
    </w:r>
    <w:r>
      <w:rPr>
        <w:rStyle w:val="a3"/>
      </w:rPr>
      <w:fldChar w:fldCharType="end"/>
    </w:r>
  </w:p>
  <w:p w:rsidR="006B4ACF" w:rsidRDefault="006B4AC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7DA" w:rsidRDefault="008A17DA">
      <w:r>
        <w:separator/>
      </w:r>
    </w:p>
  </w:footnote>
  <w:footnote w:type="continuationSeparator" w:id="0">
    <w:p w:rsidR="008A17DA" w:rsidRDefault="008A1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ACF" w:rsidRDefault="006B4A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6B4ACF" w:rsidRDefault="006B4A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ACF" w:rsidRDefault="006B4ACF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ACF" w:rsidRDefault="006B4ACF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1D64"/>
    <w:rsid w:val="00022385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6D4"/>
    <w:rsid w:val="0003670A"/>
    <w:rsid w:val="00036DE6"/>
    <w:rsid w:val="00037D36"/>
    <w:rsid w:val="00040B12"/>
    <w:rsid w:val="000413B6"/>
    <w:rsid w:val="00041FFB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3795"/>
    <w:rsid w:val="00074B81"/>
    <w:rsid w:val="00074E11"/>
    <w:rsid w:val="00075313"/>
    <w:rsid w:val="0007617E"/>
    <w:rsid w:val="0007680E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11"/>
    <w:rsid w:val="00091920"/>
    <w:rsid w:val="00091A2E"/>
    <w:rsid w:val="0009218A"/>
    <w:rsid w:val="0009288C"/>
    <w:rsid w:val="00092960"/>
    <w:rsid w:val="00092FCE"/>
    <w:rsid w:val="000933A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7ED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15E1"/>
    <w:rsid w:val="00102711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A0F"/>
    <w:rsid w:val="001425EF"/>
    <w:rsid w:val="00142AAE"/>
    <w:rsid w:val="001444FB"/>
    <w:rsid w:val="00144C89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0C9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DFA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78"/>
    <w:rsid w:val="001805F0"/>
    <w:rsid w:val="00180CEE"/>
    <w:rsid w:val="001812B0"/>
    <w:rsid w:val="0018168A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0FCB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6315"/>
    <w:rsid w:val="001A70F4"/>
    <w:rsid w:val="001B0356"/>
    <w:rsid w:val="001B03BA"/>
    <w:rsid w:val="001B12D0"/>
    <w:rsid w:val="001B2E06"/>
    <w:rsid w:val="001B2EC9"/>
    <w:rsid w:val="001B4D25"/>
    <w:rsid w:val="001B4D38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5F8"/>
    <w:rsid w:val="001D4602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381"/>
    <w:rsid w:val="00266447"/>
    <w:rsid w:val="00267E66"/>
    <w:rsid w:val="00267F36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3D10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6049"/>
    <w:rsid w:val="002A6B1F"/>
    <w:rsid w:val="002A719C"/>
    <w:rsid w:val="002A7A47"/>
    <w:rsid w:val="002A7AA9"/>
    <w:rsid w:val="002A7BF2"/>
    <w:rsid w:val="002A7C7B"/>
    <w:rsid w:val="002A7CE2"/>
    <w:rsid w:val="002A7E2B"/>
    <w:rsid w:val="002B0134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0A51"/>
    <w:rsid w:val="002C1858"/>
    <w:rsid w:val="002C1AEF"/>
    <w:rsid w:val="002C26BD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759"/>
    <w:rsid w:val="002F1D97"/>
    <w:rsid w:val="002F2A32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37BF3"/>
    <w:rsid w:val="0034019F"/>
    <w:rsid w:val="0034044B"/>
    <w:rsid w:val="00340B79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57A17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6137"/>
    <w:rsid w:val="0037649F"/>
    <w:rsid w:val="00376BEF"/>
    <w:rsid w:val="00376C8D"/>
    <w:rsid w:val="0037795B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D03DC"/>
    <w:rsid w:val="003D0487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56B5"/>
    <w:rsid w:val="003F58C5"/>
    <w:rsid w:val="003F66AA"/>
    <w:rsid w:val="003F6C32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EC"/>
    <w:rsid w:val="00482FB5"/>
    <w:rsid w:val="00483AE4"/>
    <w:rsid w:val="00483C2B"/>
    <w:rsid w:val="00484A08"/>
    <w:rsid w:val="00484F0A"/>
    <w:rsid w:val="004856DB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7365"/>
    <w:rsid w:val="004973F6"/>
    <w:rsid w:val="0049768A"/>
    <w:rsid w:val="00497A50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253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C8D"/>
    <w:rsid w:val="004E2B0A"/>
    <w:rsid w:val="004E395A"/>
    <w:rsid w:val="004E4457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3A11"/>
    <w:rsid w:val="004F5733"/>
    <w:rsid w:val="004F58A2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64A"/>
    <w:rsid w:val="00515F60"/>
    <w:rsid w:val="00516FA5"/>
    <w:rsid w:val="00517249"/>
    <w:rsid w:val="00517973"/>
    <w:rsid w:val="00521DCC"/>
    <w:rsid w:val="00522040"/>
    <w:rsid w:val="00522B66"/>
    <w:rsid w:val="00523B43"/>
    <w:rsid w:val="00525987"/>
    <w:rsid w:val="00526B56"/>
    <w:rsid w:val="0052708D"/>
    <w:rsid w:val="0053088C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4DE2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40"/>
    <w:rsid w:val="00591265"/>
    <w:rsid w:val="00592330"/>
    <w:rsid w:val="00592F54"/>
    <w:rsid w:val="00593DCD"/>
    <w:rsid w:val="0059409E"/>
    <w:rsid w:val="005946E0"/>
    <w:rsid w:val="00595D61"/>
    <w:rsid w:val="00597CA0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85B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E003B"/>
    <w:rsid w:val="005E0356"/>
    <w:rsid w:val="005E0C0B"/>
    <w:rsid w:val="005E1E3F"/>
    <w:rsid w:val="005E2523"/>
    <w:rsid w:val="005E2788"/>
    <w:rsid w:val="005E3251"/>
    <w:rsid w:val="005E530E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8E"/>
    <w:rsid w:val="005F5AAF"/>
    <w:rsid w:val="005F63B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CB3"/>
    <w:rsid w:val="0061195D"/>
    <w:rsid w:val="00611BD8"/>
    <w:rsid w:val="00611D45"/>
    <w:rsid w:val="00612E44"/>
    <w:rsid w:val="00612F4F"/>
    <w:rsid w:val="00613EF6"/>
    <w:rsid w:val="00615B53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6EC5"/>
    <w:rsid w:val="006479C9"/>
    <w:rsid w:val="00647C2F"/>
    <w:rsid w:val="00653415"/>
    <w:rsid w:val="006557D9"/>
    <w:rsid w:val="00655C9E"/>
    <w:rsid w:val="00655D2F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1E4C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ACF"/>
    <w:rsid w:val="006B4F27"/>
    <w:rsid w:val="006B5042"/>
    <w:rsid w:val="006B543C"/>
    <w:rsid w:val="006B570C"/>
    <w:rsid w:val="006B6D9C"/>
    <w:rsid w:val="006C025B"/>
    <w:rsid w:val="006C035F"/>
    <w:rsid w:val="006C0DD7"/>
    <w:rsid w:val="006C1022"/>
    <w:rsid w:val="006C17F5"/>
    <w:rsid w:val="006C22EF"/>
    <w:rsid w:val="006C26AA"/>
    <w:rsid w:val="006C6236"/>
    <w:rsid w:val="006C7222"/>
    <w:rsid w:val="006C78D8"/>
    <w:rsid w:val="006C7DF0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63E7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406"/>
    <w:rsid w:val="0070597D"/>
    <w:rsid w:val="00705E11"/>
    <w:rsid w:val="00706201"/>
    <w:rsid w:val="00706E1C"/>
    <w:rsid w:val="00707778"/>
    <w:rsid w:val="00707863"/>
    <w:rsid w:val="00707D8B"/>
    <w:rsid w:val="007100C4"/>
    <w:rsid w:val="00710396"/>
    <w:rsid w:val="007107C9"/>
    <w:rsid w:val="0071083D"/>
    <w:rsid w:val="0071193E"/>
    <w:rsid w:val="00711B40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297D"/>
    <w:rsid w:val="007331B7"/>
    <w:rsid w:val="00733994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4788F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85F"/>
    <w:rsid w:val="00766792"/>
    <w:rsid w:val="00767BAC"/>
    <w:rsid w:val="00772243"/>
    <w:rsid w:val="00772BEA"/>
    <w:rsid w:val="007742AB"/>
    <w:rsid w:val="0077466C"/>
    <w:rsid w:val="007746EA"/>
    <w:rsid w:val="007757D7"/>
    <w:rsid w:val="00776F9D"/>
    <w:rsid w:val="00777B29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4BE8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3BB8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A7A3C"/>
    <w:rsid w:val="007B0A08"/>
    <w:rsid w:val="007B1D44"/>
    <w:rsid w:val="007B214E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FF6"/>
    <w:rsid w:val="007D08C3"/>
    <w:rsid w:val="007D0E44"/>
    <w:rsid w:val="007D1E90"/>
    <w:rsid w:val="007D1EBB"/>
    <w:rsid w:val="007D24E1"/>
    <w:rsid w:val="007D2748"/>
    <w:rsid w:val="007D401A"/>
    <w:rsid w:val="007D48B6"/>
    <w:rsid w:val="007D5792"/>
    <w:rsid w:val="007D5948"/>
    <w:rsid w:val="007D5B63"/>
    <w:rsid w:val="007E003D"/>
    <w:rsid w:val="007E0678"/>
    <w:rsid w:val="007E0A1B"/>
    <w:rsid w:val="007E1797"/>
    <w:rsid w:val="007E1981"/>
    <w:rsid w:val="007E1B7D"/>
    <w:rsid w:val="007E31F7"/>
    <w:rsid w:val="007E3B2A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5A3E"/>
    <w:rsid w:val="00816C1E"/>
    <w:rsid w:val="00817050"/>
    <w:rsid w:val="00817E28"/>
    <w:rsid w:val="00820231"/>
    <w:rsid w:val="0082177C"/>
    <w:rsid w:val="0082287E"/>
    <w:rsid w:val="0082293A"/>
    <w:rsid w:val="00823061"/>
    <w:rsid w:val="00825180"/>
    <w:rsid w:val="00826184"/>
    <w:rsid w:val="0082629B"/>
    <w:rsid w:val="00827336"/>
    <w:rsid w:val="00827F50"/>
    <w:rsid w:val="0083293B"/>
    <w:rsid w:val="00834397"/>
    <w:rsid w:val="00834CBF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6288"/>
    <w:rsid w:val="008466CD"/>
    <w:rsid w:val="0084679E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3AF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57A"/>
    <w:rsid w:val="00882FBE"/>
    <w:rsid w:val="008846C0"/>
    <w:rsid w:val="00885C24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84B"/>
    <w:rsid w:val="00895BC8"/>
    <w:rsid w:val="00896BC9"/>
    <w:rsid w:val="008A0B30"/>
    <w:rsid w:val="008A10C8"/>
    <w:rsid w:val="008A10F2"/>
    <w:rsid w:val="008A16C0"/>
    <w:rsid w:val="008A17DA"/>
    <w:rsid w:val="008A180F"/>
    <w:rsid w:val="008A236B"/>
    <w:rsid w:val="008A2DFD"/>
    <w:rsid w:val="008A34E8"/>
    <w:rsid w:val="008A48A0"/>
    <w:rsid w:val="008A5DFE"/>
    <w:rsid w:val="008A787B"/>
    <w:rsid w:val="008B0293"/>
    <w:rsid w:val="008B0D9C"/>
    <w:rsid w:val="008B0F80"/>
    <w:rsid w:val="008B1A93"/>
    <w:rsid w:val="008B21E1"/>
    <w:rsid w:val="008B22E4"/>
    <w:rsid w:val="008B3BB0"/>
    <w:rsid w:val="008B41D4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6990"/>
    <w:rsid w:val="008D70A2"/>
    <w:rsid w:val="008E0190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63E4"/>
    <w:rsid w:val="008E7772"/>
    <w:rsid w:val="008E7DA2"/>
    <w:rsid w:val="008E7E0E"/>
    <w:rsid w:val="008F0C02"/>
    <w:rsid w:val="008F1A14"/>
    <w:rsid w:val="008F1E43"/>
    <w:rsid w:val="008F214F"/>
    <w:rsid w:val="008F4442"/>
    <w:rsid w:val="008F4480"/>
    <w:rsid w:val="008F5257"/>
    <w:rsid w:val="008F62E1"/>
    <w:rsid w:val="008F63EF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DD3"/>
    <w:rsid w:val="009140C6"/>
    <w:rsid w:val="00914FE9"/>
    <w:rsid w:val="0091670A"/>
    <w:rsid w:val="00916721"/>
    <w:rsid w:val="00916B4C"/>
    <w:rsid w:val="00916C40"/>
    <w:rsid w:val="00917191"/>
    <w:rsid w:val="00917EBC"/>
    <w:rsid w:val="00920F0B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60108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6F35"/>
    <w:rsid w:val="00997971"/>
    <w:rsid w:val="009A017C"/>
    <w:rsid w:val="009A25E9"/>
    <w:rsid w:val="009A289D"/>
    <w:rsid w:val="009A2A08"/>
    <w:rsid w:val="009A3D08"/>
    <w:rsid w:val="009A3FAF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4D39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2DBD"/>
    <w:rsid w:val="009D3588"/>
    <w:rsid w:val="009D4631"/>
    <w:rsid w:val="009D4AD5"/>
    <w:rsid w:val="009D4AF4"/>
    <w:rsid w:val="009D4E12"/>
    <w:rsid w:val="009D5006"/>
    <w:rsid w:val="009D5365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6900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D65"/>
    <w:rsid w:val="00A07642"/>
    <w:rsid w:val="00A102D1"/>
    <w:rsid w:val="00A1106B"/>
    <w:rsid w:val="00A110F4"/>
    <w:rsid w:val="00A1125F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67CC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3767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055A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3D04"/>
    <w:rsid w:val="00AE437B"/>
    <w:rsid w:val="00AE4534"/>
    <w:rsid w:val="00AE5525"/>
    <w:rsid w:val="00AE6282"/>
    <w:rsid w:val="00AE77AF"/>
    <w:rsid w:val="00AE7C70"/>
    <w:rsid w:val="00AF0556"/>
    <w:rsid w:val="00AF08ED"/>
    <w:rsid w:val="00AF12FE"/>
    <w:rsid w:val="00AF1357"/>
    <w:rsid w:val="00AF1C94"/>
    <w:rsid w:val="00AF21B1"/>
    <w:rsid w:val="00AF2257"/>
    <w:rsid w:val="00AF25F3"/>
    <w:rsid w:val="00AF385C"/>
    <w:rsid w:val="00AF4071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9A9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47F95"/>
    <w:rsid w:val="00B505D5"/>
    <w:rsid w:val="00B505F3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124"/>
    <w:rsid w:val="00B80377"/>
    <w:rsid w:val="00B811BB"/>
    <w:rsid w:val="00B815B8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1160"/>
    <w:rsid w:val="00BB2E8E"/>
    <w:rsid w:val="00BB3279"/>
    <w:rsid w:val="00BB38B9"/>
    <w:rsid w:val="00BB5BE3"/>
    <w:rsid w:val="00BB6754"/>
    <w:rsid w:val="00BB71A7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4B58"/>
    <w:rsid w:val="00BE540F"/>
    <w:rsid w:val="00BE574C"/>
    <w:rsid w:val="00BE67F9"/>
    <w:rsid w:val="00BE7343"/>
    <w:rsid w:val="00BE7E15"/>
    <w:rsid w:val="00BE7ED5"/>
    <w:rsid w:val="00BF03B0"/>
    <w:rsid w:val="00BF07D1"/>
    <w:rsid w:val="00BF1549"/>
    <w:rsid w:val="00BF1FFD"/>
    <w:rsid w:val="00BF2043"/>
    <w:rsid w:val="00BF2478"/>
    <w:rsid w:val="00BF2B9B"/>
    <w:rsid w:val="00BF36EA"/>
    <w:rsid w:val="00BF3D9C"/>
    <w:rsid w:val="00BF48A8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209"/>
    <w:rsid w:val="00C0220A"/>
    <w:rsid w:val="00C02FDA"/>
    <w:rsid w:val="00C03117"/>
    <w:rsid w:val="00C03B46"/>
    <w:rsid w:val="00C03D94"/>
    <w:rsid w:val="00C04349"/>
    <w:rsid w:val="00C0456D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DD"/>
    <w:rsid w:val="00C40BF9"/>
    <w:rsid w:val="00C45550"/>
    <w:rsid w:val="00C459DA"/>
    <w:rsid w:val="00C462DC"/>
    <w:rsid w:val="00C46369"/>
    <w:rsid w:val="00C467BD"/>
    <w:rsid w:val="00C46AC6"/>
    <w:rsid w:val="00C470D1"/>
    <w:rsid w:val="00C472E0"/>
    <w:rsid w:val="00C50632"/>
    <w:rsid w:val="00C517A0"/>
    <w:rsid w:val="00C519A2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4C3"/>
    <w:rsid w:val="00C85673"/>
    <w:rsid w:val="00C8630D"/>
    <w:rsid w:val="00C87452"/>
    <w:rsid w:val="00C8756A"/>
    <w:rsid w:val="00C877B2"/>
    <w:rsid w:val="00C929A7"/>
    <w:rsid w:val="00C92D2A"/>
    <w:rsid w:val="00C94757"/>
    <w:rsid w:val="00C958BD"/>
    <w:rsid w:val="00C971F3"/>
    <w:rsid w:val="00CA0061"/>
    <w:rsid w:val="00CA05A7"/>
    <w:rsid w:val="00CA0783"/>
    <w:rsid w:val="00CA0A48"/>
    <w:rsid w:val="00CA0CE7"/>
    <w:rsid w:val="00CA160F"/>
    <w:rsid w:val="00CA29E1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5F6"/>
    <w:rsid w:val="00CB7F38"/>
    <w:rsid w:val="00CC011C"/>
    <w:rsid w:val="00CC0215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6E9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ED1"/>
    <w:rsid w:val="00CE12C8"/>
    <w:rsid w:val="00CE133F"/>
    <w:rsid w:val="00CE1445"/>
    <w:rsid w:val="00CE23B1"/>
    <w:rsid w:val="00CE26BC"/>
    <w:rsid w:val="00CE5956"/>
    <w:rsid w:val="00CE597E"/>
    <w:rsid w:val="00CE5A48"/>
    <w:rsid w:val="00CF08A8"/>
    <w:rsid w:val="00CF12A0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B96"/>
    <w:rsid w:val="00CF5EDC"/>
    <w:rsid w:val="00CF61C0"/>
    <w:rsid w:val="00CF7AEB"/>
    <w:rsid w:val="00D022BB"/>
    <w:rsid w:val="00D02F1F"/>
    <w:rsid w:val="00D0405E"/>
    <w:rsid w:val="00D04F42"/>
    <w:rsid w:val="00D05C56"/>
    <w:rsid w:val="00D060EA"/>
    <w:rsid w:val="00D06101"/>
    <w:rsid w:val="00D063E7"/>
    <w:rsid w:val="00D079B6"/>
    <w:rsid w:val="00D11472"/>
    <w:rsid w:val="00D11744"/>
    <w:rsid w:val="00D136F8"/>
    <w:rsid w:val="00D146F3"/>
    <w:rsid w:val="00D21521"/>
    <w:rsid w:val="00D2290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577"/>
    <w:rsid w:val="00D3184E"/>
    <w:rsid w:val="00D31E25"/>
    <w:rsid w:val="00D32783"/>
    <w:rsid w:val="00D33447"/>
    <w:rsid w:val="00D3398A"/>
    <w:rsid w:val="00D357C1"/>
    <w:rsid w:val="00D3775E"/>
    <w:rsid w:val="00D378F6"/>
    <w:rsid w:val="00D37BF0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FB0"/>
    <w:rsid w:val="00D801A2"/>
    <w:rsid w:val="00D8041E"/>
    <w:rsid w:val="00D815E7"/>
    <w:rsid w:val="00D81BA6"/>
    <w:rsid w:val="00D82969"/>
    <w:rsid w:val="00D8316A"/>
    <w:rsid w:val="00D831BD"/>
    <w:rsid w:val="00D83E5A"/>
    <w:rsid w:val="00D8409A"/>
    <w:rsid w:val="00D86098"/>
    <w:rsid w:val="00D874EC"/>
    <w:rsid w:val="00D8766E"/>
    <w:rsid w:val="00D87A12"/>
    <w:rsid w:val="00D900DE"/>
    <w:rsid w:val="00D9027C"/>
    <w:rsid w:val="00D90F0D"/>
    <w:rsid w:val="00D90FCF"/>
    <w:rsid w:val="00D91C10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48D0"/>
    <w:rsid w:val="00DA5867"/>
    <w:rsid w:val="00DA59FF"/>
    <w:rsid w:val="00DA5D13"/>
    <w:rsid w:val="00DA731C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5111"/>
    <w:rsid w:val="00DD65B3"/>
    <w:rsid w:val="00DD67F3"/>
    <w:rsid w:val="00DD6E45"/>
    <w:rsid w:val="00DD7598"/>
    <w:rsid w:val="00DE2B45"/>
    <w:rsid w:val="00DE3518"/>
    <w:rsid w:val="00DE400C"/>
    <w:rsid w:val="00DE4958"/>
    <w:rsid w:val="00DE62DF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E72"/>
    <w:rsid w:val="00E00F96"/>
    <w:rsid w:val="00E010C3"/>
    <w:rsid w:val="00E01F2F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170D"/>
    <w:rsid w:val="00E519B9"/>
    <w:rsid w:val="00E522F8"/>
    <w:rsid w:val="00E538DE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046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EEA"/>
    <w:rsid w:val="00E742E6"/>
    <w:rsid w:val="00E75118"/>
    <w:rsid w:val="00E75387"/>
    <w:rsid w:val="00E7776E"/>
    <w:rsid w:val="00E7778F"/>
    <w:rsid w:val="00E77C20"/>
    <w:rsid w:val="00E804B5"/>
    <w:rsid w:val="00E80AB6"/>
    <w:rsid w:val="00E8219F"/>
    <w:rsid w:val="00E82A30"/>
    <w:rsid w:val="00E8319E"/>
    <w:rsid w:val="00E84495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62E7"/>
    <w:rsid w:val="00EB0370"/>
    <w:rsid w:val="00EB098F"/>
    <w:rsid w:val="00EB10E5"/>
    <w:rsid w:val="00EB17D4"/>
    <w:rsid w:val="00EB1EF7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82D"/>
    <w:rsid w:val="00ED4C4E"/>
    <w:rsid w:val="00ED4E9A"/>
    <w:rsid w:val="00ED531C"/>
    <w:rsid w:val="00ED558E"/>
    <w:rsid w:val="00ED64BA"/>
    <w:rsid w:val="00ED6E22"/>
    <w:rsid w:val="00EE0610"/>
    <w:rsid w:val="00EE0DD6"/>
    <w:rsid w:val="00EE100D"/>
    <w:rsid w:val="00EE1ADE"/>
    <w:rsid w:val="00EE1C00"/>
    <w:rsid w:val="00EE1FE0"/>
    <w:rsid w:val="00EE2710"/>
    <w:rsid w:val="00EE28F7"/>
    <w:rsid w:val="00EE2D09"/>
    <w:rsid w:val="00EE41E1"/>
    <w:rsid w:val="00EE4B35"/>
    <w:rsid w:val="00EE5226"/>
    <w:rsid w:val="00EE54DD"/>
    <w:rsid w:val="00EE5E8C"/>
    <w:rsid w:val="00EE6D84"/>
    <w:rsid w:val="00EE7564"/>
    <w:rsid w:val="00EE7A40"/>
    <w:rsid w:val="00EF065E"/>
    <w:rsid w:val="00EF0C68"/>
    <w:rsid w:val="00EF10BA"/>
    <w:rsid w:val="00EF1539"/>
    <w:rsid w:val="00EF189D"/>
    <w:rsid w:val="00EF1BAD"/>
    <w:rsid w:val="00EF3393"/>
    <w:rsid w:val="00EF43A4"/>
    <w:rsid w:val="00EF43DE"/>
    <w:rsid w:val="00EF4F21"/>
    <w:rsid w:val="00EF5CBC"/>
    <w:rsid w:val="00EF65ED"/>
    <w:rsid w:val="00EF76F7"/>
    <w:rsid w:val="00EF7EAA"/>
    <w:rsid w:val="00F002B5"/>
    <w:rsid w:val="00F010CA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191"/>
    <w:rsid w:val="00FA72B7"/>
    <w:rsid w:val="00FA7C45"/>
    <w:rsid w:val="00FA7E19"/>
    <w:rsid w:val="00FB0413"/>
    <w:rsid w:val="00FB0BCD"/>
    <w:rsid w:val="00FB0D53"/>
    <w:rsid w:val="00FB1227"/>
    <w:rsid w:val="00FB1417"/>
    <w:rsid w:val="00FB1A0C"/>
    <w:rsid w:val="00FB1B8A"/>
    <w:rsid w:val="00FB2AB9"/>
    <w:rsid w:val="00FB3181"/>
    <w:rsid w:val="00FB32DC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28FC"/>
    <w:rsid w:val="00FF2E25"/>
    <w:rsid w:val="00FF3645"/>
    <w:rsid w:val="00FF3BF8"/>
    <w:rsid w:val="00FF3D98"/>
    <w:rsid w:val="00FF40BC"/>
    <w:rsid w:val="00FF4DCB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1EB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558750867115329E-2"/>
          <c:y val="7.977488390874217E-2"/>
          <c:w val="0.89902290807157603"/>
          <c:h val="0.678710882293559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74384905905308E-2"/>
                  <c:y val="3.2067433878457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896862969408579E-2"/>
                  <c:y val="-4.8483242479305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22799758221876E-2"/>
                  <c:y val="4.890924692105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927160697982767E-2"/>
                  <c:y val="-4.9307972464418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1112837829178E-2"/>
                  <c:y val="4.29293541750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44632566469136E-2"/>
                  <c:y val="-4.353775489602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3336700377673E-2"/>
                  <c:y val="-4.88254593175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144522028038586E-2"/>
                  <c:y val="3.776794845364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151709401709403E-2"/>
                  <c:y val="-6.29212121212121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6110242272755E-2"/>
                  <c:y val="4.6180307127641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10716633793559E-2"/>
                  <c:y val="-4.8317171717171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25053786799196E-2"/>
                  <c:y val="-5.0080768116124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 formatCode="General">
                  <c:v>100.8</c:v>
                </c:pt>
                <c:pt idx="1">
                  <c:v>100.9</c:v>
                </c:pt>
                <c:pt idx="2" formatCode="General">
                  <c:v>101.3</c:v>
                </c:pt>
                <c:pt idx="3" formatCode="General">
                  <c:v>101.5</c:v>
                </c:pt>
                <c:pt idx="4">
                  <c:v>101</c:v>
                </c:pt>
                <c:pt idx="5">
                  <c:v>100.9</c:v>
                </c:pt>
                <c:pt idx="6">
                  <c:v>101.3</c:v>
                </c:pt>
                <c:pt idx="7">
                  <c:v>101.1</c:v>
                </c:pt>
                <c:pt idx="8">
                  <c:v>101</c:v>
                </c:pt>
                <c:pt idx="9">
                  <c:v>101.1</c:v>
                </c:pt>
                <c:pt idx="10">
                  <c:v>101.1</c:v>
                </c:pt>
                <c:pt idx="11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5.2616772147325186E-2"/>
                  <c:y val="4.626503471101065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98,</a:t>
                    </a:r>
                    <a:r>
                      <a:rPr lang="ru-RU" i="0"/>
                      <a:t>2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2015804825015E-2"/>
                  <c:y val="6.3384312537855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17600717221012E-2"/>
                  <c:y val="4.32682212800323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90219750351917E-2"/>
                  <c:y val="5.71184130829800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847136186801994E-2"/>
                  <c:y val="5.4809206541490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061117939855661E-2"/>
                  <c:y val="5.7517666060973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307492282166432E-2"/>
                  <c:y val="4.7774581061982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855290113465339E-2"/>
                  <c:y val="6.1401675752069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11">
                  <c:v>101.2</c:v>
                </c:pt>
                <c:pt idx="12">
                  <c:v>98.1</c:v>
                </c:pt>
                <c:pt idx="13" formatCode="0.0">
                  <c:v>99.4</c:v>
                </c:pt>
                <c:pt idx="14">
                  <c:v>99.7</c:v>
                </c:pt>
                <c:pt idx="15">
                  <c:v>98.7</c:v>
                </c:pt>
                <c:pt idx="16" formatCode="0.0">
                  <c:v>98.2</c:v>
                </c:pt>
                <c:pt idx="17" formatCode="0.0">
                  <c:v>98.3</c:v>
                </c:pt>
                <c:pt idx="18" formatCode="0.0">
                  <c:v>98.4</c:v>
                </c:pt>
                <c:pt idx="19" formatCode="0.0">
                  <c:v>98.7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6753408"/>
        <c:axId val="166754944"/>
      </c:lineChart>
      <c:catAx>
        <c:axId val="166753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7549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6754944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753408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66491264"/>
        <c:axId val="166492800"/>
      </c:barChart>
      <c:dateAx>
        <c:axId val="1664912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166492800"/>
        <c:crosses val="autoZero"/>
        <c:auto val="0"/>
        <c:lblOffset val="100"/>
        <c:baseTimeUnit val="days"/>
        <c:majorUnit val="3"/>
        <c:minorUnit val="3"/>
      </c:dateAx>
      <c:valAx>
        <c:axId val="166492800"/>
        <c:scaling>
          <c:orientation val="minMax"/>
          <c:max val="1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66491264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4743425336673098"/>
          <c:h val="0.87652621471096592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58318231910952412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0,00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Гродненская</c:v>
                </c:pt>
                <c:pt idx="1">
                  <c:v>Могилевская</c:v>
                </c:pt>
                <c:pt idx="2">
                  <c:v>Брестская</c:v>
                </c:pt>
                <c:pt idx="3">
                  <c:v>Витебская</c:v>
                </c:pt>
                <c:pt idx="4">
                  <c:v>Гомельская</c:v>
                </c:pt>
                <c:pt idx="5">
                  <c:v>Минская</c:v>
                </c:pt>
                <c:pt idx="6">
                  <c:v>г.Минск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 formatCode="0.000">
                  <c:v>1.9E-2</c:v>
                </c:pt>
                <c:pt idx="1">
                  <c:v>-0.01</c:v>
                </c:pt>
                <c:pt idx="2">
                  <c:v>-0.08</c:v>
                </c:pt>
                <c:pt idx="3">
                  <c:v>-0.14000000000000001</c:v>
                </c:pt>
                <c:pt idx="4">
                  <c:v>-0.14000000000000001</c:v>
                </c:pt>
                <c:pt idx="5">
                  <c:v>-0.26</c:v>
                </c:pt>
                <c:pt idx="6">
                  <c:v>-0.41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66532608"/>
        <c:axId val="166535552"/>
      </c:barChart>
      <c:catAx>
        <c:axId val="16653260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535552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66535552"/>
        <c:scaling>
          <c:orientation val="minMax"/>
          <c:max val="0.5"/>
          <c:min val="-1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532608"/>
        <c:crosses val="autoZero"/>
        <c:crossBetween val="between"/>
        <c:majorUnit val="0.5"/>
        <c:minorUnit val="0.5"/>
      </c:valAx>
      <c:spPr>
        <a:solidFill>
          <a:srgbClr val="EAEAEA"/>
        </a:soli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8150633344744947E-2"/>
          <c:y val="4.9028137217113597E-2"/>
          <c:w val="0.84942351546845252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526285119869658E-2"/>
                  <c:y val="-3.2374121479135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374626498475413E-2"/>
                  <c:y val="-4.3241675140711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59848732548185E-2"/>
                  <c:y val="-4.2242872857009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412908474382349E-2"/>
                  <c:y val="-4.4684090303114904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482257926356926E-2"/>
                  <c:y val="-3.90914131090106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56092759072249E-2"/>
                  <c:y val="-3.3838851946798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842571208914833E-2"/>
                  <c:y val="-3.57633546521447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44744581175447E-2"/>
                  <c:y val="-3.06504565211285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61666263731064E-2"/>
                  <c:y val="-3.6557856468726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3457850831261982E-2"/>
                  <c:y val="-3.75381909135924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819381288705138E-2"/>
                  <c:y val="-3.4089322011009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43337374861038E-2"/>
                  <c:y val="-3.6864499542728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713712322481952E-2"/>
                  <c:y val="2.657955741914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677314808617013E-2"/>
                  <c:y val="4.5837412490533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52677633668703E-2"/>
                  <c:y val="4.7498706984132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00849636063534E-2"/>
                  <c:y val="3.15122148193014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51702505892812E-2"/>
                  <c:y val="3.810107414197618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82653379365062E-2"/>
                  <c:y val="4.277115636048821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282834982602654E-2"/>
                  <c:y val="3.8830113108102284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842967303505666E-3"/>
                  <c:y val="3.02299799937595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101,3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981163437044598E-3"/>
                  <c:y val="-4.19407888699227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0.11630672786090269"/>
                  <c:y val="-4.6581560700434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336776540010266E-2"/>
                  <c:y val="2.9392040780350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4718765824375048E-2"/>
                  <c:y val="-4.185268799442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 formatCode="0.0">
                  <c:v>101</c:v>
                </c:pt>
                <c:pt idx="1">
                  <c:v>101.1</c:v>
                </c:pt>
                <c:pt idx="2">
                  <c:v>101.4</c:v>
                </c:pt>
                <c:pt idx="3" formatCode="0.0">
                  <c:v>101.6</c:v>
                </c:pt>
                <c:pt idx="4">
                  <c:v>101.1</c:v>
                </c:pt>
                <c:pt idx="5" formatCode="0.0">
                  <c:v>101</c:v>
                </c:pt>
                <c:pt idx="6" formatCode="0.0">
                  <c:v>101.4</c:v>
                </c:pt>
                <c:pt idx="7" formatCode="0.0">
                  <c:v>101.2</c:v>
                </c:pt>
                <c:pt idx="8">
                  <c:v>101.2</c:v>
                </c:pt>
                <c:pt idx="9" formatCode="0.0">
                  <c:v>101.2</c:v>
                </c:pt>
                <c:pt idx="10">
                  <c:v>101.2</c:v>
                </c:pt>
                <c:pt idx="11" formatCode="0.0">
                  <c:v>101.3</c:v>
                </c:pt>
                <c:pt idx="12" formatCode="0.0">
                  <c:v>98.3</c:v>
                </c:pt>
                <c:pt idx="13" formatCode="0.0">
                  <c:v>99.5</c:v>
                </c:pt>
                <c:pt idx="14" formatCode="0.0">
                  <c:v>99.9</c:v>
                </c:pt>
                <c:pt idx="15" formatCode="0.0">
                  <c:v>98.8</c:v>
                </c:pt>
                <c:pt idx="16" formatCode="0.0">
                  <c:v>98.4</c:v>
                </c:pt>
                <c:pt idx="17" formatCode="0.0">
                  <c:v>98.6</c:v>
                </c:pt>
                <c:pt idx="18" formatCode="0.0">
                  <c:v>98.7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510613993220642E-2"/>
                  <c:y val="-4.276997575711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0623030744164E-2"/>
                  <c:y val="3.9081409696307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053844758950291E-2"/>
                  <c:y val="-3.6622750306321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84025127358331E-2"/>
                  <c:y val="-3.4047384626986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02046483319E-2"/>
                  <c:y val="-3.85090325247805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51357324966E-2"/>
                  <c:y val="-3.8534299970797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87302857607125E-2"/>
                  <c:y val="-3.8742063157700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13693293533743E-2"/>
                  <c:y val="-3.4916142545553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543239300994723E-2"/>
                  <c:y val="-3.66344210505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513904473376353E-2"/>
                  <c:y val="-3.48411169502826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086652211951767E-2"/>
                  <c:y val="-3.16856546777806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92441705656362E-2"/>
                  <c:y val="4.28088796592733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426071741032371E-2"/>
                  <c:y val="-3.0828838702854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229517038698704E-2"/>
                  <c:y val="-3.71942274152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98052417360876E-2"/>
                  <c:y val="-3.362810417928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865380957815058E-2"/>
                  <c:y val="3.4193418130426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242574434428281E-2"/>
                  <c:y val="-3.854699660999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48588678113081E-2"/>
                  <c:y val="-4.25025768406375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30773726123782E-2"/>
                  <c:y val="-4.4672932650485005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2.5585871533500173E-3"/>
                  <c:y val="-4.292237945781252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107,8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0774786872571155E-2"/>
                  <c:y val="5.32033845419672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857278149509663E-2"/>
                  <c:y val="4.5784556650698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07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29898066866E-2"/>
                  <c:y val="3.684268487418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0.0</c:formatCode>
                <c:ptCount val="19"/>
                <c:pt idx="0">
                  <c:v>107.5</c:v>
                </c:pt>
                <c:pt idx="1">
                  <c:v>107.6</c:v>
                </c:pt>
                <c:pt idx="2">
                  <c:v>107.8</c:v>
                </c:pt>
                <c:pt idx="3">
                  <c:v>108.4</c:v>
                </c:pt>
                <c:pt idx="4">
                  <c:v>107.9</c:v>
                </c:pt>
                <c:pt idx="5">
                  <c:v>107.6</c:v>
                </c:pt>
                <c:pt idx="6">
                  <c:v>107.8</c:v>
                </c:pt>
                <c:pt idx="7">
                  <c:v>107.6</c:v>
                </c:pt>
                <c:pt idx="8" formatCode="General">
                  <c:v>107.8</c:v>
                </c:pt>
                <c:pt idx="9">
                  <c:v>107.6</c:v>
                </c:pt>
                <c:pt idx="10">
                  <c:v>107.5</c:v>
                </c:pt>
                <c:pt idx="11">
                  <c:v>106.5</c:v>
                </c:pt>
                <c:pt idx="12">
                  <c:v>107.9</c:v>
                </c:pt>
                <c:pt idx="13">
                  <c:v>108.6</c:v>
                </c:pt>
                <c:pt idx="14">
                  <c:v>108.9</c:v>
                </c:pt>
                <c:pt idx="15">
                  <c:v>107.8</c:v>
                </c:pt>
                <c:pt idx="16">
                  <c:v>107.9</c:v>
                </c:pt>
                <c:pt idx="17">
                  <c:v>108.2</c:v>
                </c:pt>
                <c:pt idx="18">
                  <c:v>108.2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946496"/>
        <c:axId val="166645760"/>
      </c:lineChart>
      <c:catAx>
        <c:axId val="167946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6457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645760"/>
        <c:scaling>
          <c:orientation val="minMax"/>
          <c:max val="111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946496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8033854463844195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0.22411</cdr:x>
      <cdr:y>0.77582</cdr:y>
    </cdr:from>
    <cdr:to>
      <cdr:x>0.88248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4051" y="1537092"/>
          <a:ext cx="4007148" cy="444154"/>
          <a:chOff x="3492361" y="2194684"/>
          <a:chExt cx="2133590" cy="23717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1" y="2194684"/>
            <a:ext cx="1650557" cy="237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8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9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38757" y="2201864"/>
            <a:ext cx="387194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0.14673</cdr:x>
      <cdr:y>0.82307</cdr:y>
    </cdr:from>
    <cdr:to>
      <cdr:x>0.8744</cdr:x>
      <cdr:y>0.91098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964315" y="2140239"/>
          <a:ext cx="4782442" cy="228611"/>
          <a:chOff x="2569523" y="1769904"/>
          <a:chExt cx="2993864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9523" y="1771351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76597" y="1769904"/>
            <a:ext cx="486790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059F-24A9-457A-AA6E-51194BF2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46</cp:revision>
  <cp:lastPrinted>2020-09-15T13:45:00Z</cp:lastPrinted>
  <dcterms:created xsi:type="dcterms:W3CDTF">2018-07-16T06:51:00Z</dcterms:created>
  <dcterms:modified xsi:type="dcterms:W3CDTF">2020-09-24T07:13:00Z</dcterms:modified>
</cp:coreProperties>
</file>