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D9246D">
      <w:pPr>
        <w:pStyle w:val="20"/>
        <w:spacing w:before="20" w:after="14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852A46">
        <w:rPr>
          <w:szCs w:val="26"/>
        </w:rPr>
        <w:t>январь-</w:t>
      </w:r>
      <w:r w:rsidR="00345F12">
        <w:rPr>
          <w:szCs w:val="26"/>
        </w:rPr>
        <w:t>но</w:t>
      </w:r>
      <w:r w:rsidR="005035D0">
        <w:rPr>
          <w:szCs w:val="26"/>
        </w:rPr>
        <w:t>ябрь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852A46">
        <w:t>январе-</w:t>
      </w:r>
      <w:r w:rsidR="00345F12">
        <w:t>но</w:t>
      </w:r>
      <w:r w:rsidR="005035D0">
        <w:t>ябре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>в сумме</w:t>
      </w:r>
      <w:r w:rsidR="00FA7E19" w:rsidRPr="00886495">
        <w:rPr>
          <w:szCs w:val="26"/>
        </w:rPr>
        <w:t xml:space="preserve"> </w:t>
      </w:r>
      <w:r w:rsidR="00996D4F" w:rsidRPr="00996D4F">
        <w:rPr>
          <w:szCs w:val="26"/>
        </w:rPr>
        <w:t>158,3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за </w:t>
      </w:r>
      <w:r w:rsidR="005035D0">
        <w:rPr>
          <w:szCs w:val="26"/>
        </w:rPr>
        <w:t>январь-</w:t>
      </w:r>
      <w:r w:rsidR="00345F12">
        <w:rPr>
          <w:szCs w:val="26"/>
        </w:rPr>
        <w:t>но</w:t>
      </w:r>
      <w:r w:rsidR="005035D0">
        <w:rPr>
          <w:szCs w:val="26"/>
        </w:rPr>
        <w:t>ябрь</w:t>
      </w:r>
      <w:r w:rsidR="00117BEA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5035D0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A10908">
        <w:rPr>
          <w:szCs w:val="26"/>
        </w:rPr>
        <w:t>10</w:t>
      </w:r>
      <w:r w:rsidR="0060620F">
        <w:rPr>
          <w:szCs w:val="26"/>
        </w:rPr>
        <w:t>2,</w:t>
      </w:r>
      <w:r w:rsidR="00996D4F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A10908">
        <w:rPr>
          <w:szCs w:val="26"/>
        </w:rPr>
        <w:t>11</w:t>
      </w:r>
      <w:r w:rsidR="0060620F">
        <w:rPr>
          <w:szCs w:val="26"/>
        </w:rPr>
        <w:t>5</w:t>
      </w:r>
      <w:r w:rsidR="00CA2B83" w:rsidRPr="00A10908">
        <w:rPr>
          <w:szCs w:val="26"/>
        </w:rPr>
        <w:t>,</w:t>
      </w:r>
      <w:r w:rsidR="00996D4F">
        <w:rPr>
          <w:szCs w:val="26"/>
        </w:rPr>
        <w:t>7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5525FA7" wp14:editId="142C386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52A46" w:rsidP="00345F12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345F12">
              <w:rPr>
                <w:spacing w:val="-4"/>
                <w:sz w:val="22"/>
                <w:szCs w:val="22"/>
              </w:rPr>
              <w:t>но</w:t>
            </w:r>
            <w:r w:rsidR="005035D0">
              <w:rPr>
                <w:spacing w:val="-4"/>
                <w:sz w:val="22"/>
                <w:szCs w:val="22"/>
              </w:rPr>
              <w:t>ябрь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345F12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852A46">
              <w:rPr>
                <w:spacing w:val="-4"/>
                <w:sz w:val="22"/>
                <w:szCs w:val="22"/>
              </w:rPr>
              <w:t>январю-</w:t>
            </w:r>
            <w:r w:rsidR="00345F12">
              <w:rPr>
                <w:spacing w:val="-4"/>
                <w:sz w:val="22"/>
                <w:szCs w:val="22"/>
              </w:rPr>
              <w:t>но</w:t>
            </w:r>
            <w:r w:rsidR="005035D0">
              <w:rPr>
                <w:spacing w:val="-4"/>
                <w:sz w:val="22"/>
                <w:szCs w:val="22"/>
              </w:rPr>
              <w:t>ябрю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996D4F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158 251,6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216711" w:rsidP="00996D4F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996D4F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137 863,8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996D4F" w:rsidP="00B61C10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4E01D5" w:rsidP="00996D4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996D4F">
              <w:rPr>
                <w:b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11 639,8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A55943" w:rsidP="00996D4F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96D4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5A27A2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A55943" w:rsidP="005A27A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5A27A2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35 790,2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B61C10" w:rsidP="00996D4F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996D4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A55943" w:rsidP="005A27A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</w:t>
            </w:r>
            <w:r w:rsidR="005A27A2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96D4F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996D4F">
              <w:rPr>
                <w:sz w:val="22"/>
                <w:szCs w:val="22"/>
              </w:rPr>
              <w:t>4 355,7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094972" w:rsidP="00996D4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996D4F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A55943" w:rsidP="005A27A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</w:t>
            </w:r>
            <w:r w:rsidR="005A27A2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96D4F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996D4F">
              <w:rPr>
                <w:sz w:val="22"/>
                <w:szCs w:val="22"/>
              </w:rPr>
              <w:t>1 128,7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A069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4E01D5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7 550,2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A55943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A55943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5A27A2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A069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5A27A2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96D4F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996D4F">
              <w:rPr>
                <w:sz w:val="22"/>
                <w:szCs w:val="22"/>
              </w:rPr>
              <w:t>13 492,1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A0696" w:rsidP="00996D4F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F7A7F">
              <w:rPr>
                <w:sz w:val="22"/>
                <w:szCs w:val="22"/>
              </w:rPr>
              <w:t>,</w:t>
            </w:r>
            <w:r w:rsidR="00996D4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A55943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A069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A55943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96D4F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996D4F">
              <w:rPr>
                <w:sz w:val="22"/>
                <w:szCs w:val="22"/>
              </w:rPr>
              <w:t>7 978,8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996D4F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996D4F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4E01D5" w:rsidP="005A27A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5A27A2">
              <w:rPr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96D4F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11 801,9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996D4F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96D4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5A27A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E3AC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5A27A2">
              <w:rPr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996D4F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20 387,8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996D4F" w:rsidP="0094307A">
            <w:pPr>
              <w:spacing w:before="20" w:after="4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12,9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5A27A2" w:rsidP="00A55943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102,8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852A46">
        <w:rPr>
          <w:sz w:val="20"/>
        </w:rPr>
        <w:t>январь-</w:t>
      </w:r>
      <w:r w:rsidR="00345F12">
        <w:rPr>
          <w:sz w:val="20"/>
        </w:rPr>
        <w:t>ноябрь</w:t>
      </w:r>
      <w:r w:rsidR="003D4631" w:rsidRPr="009C71FD">
        <w:rPr>
          <w:sz w:val="20"/>
        </w:rPr>
        <w:t xml:space="preserve"> </w:t>
      </w:r>
      <w:r w:rsidRPr="009C71FD">
        <w:rPr>
          <w:sz w:val="20"/>
        </w:rPr>
        <w:t>2021</w:t>
      </w:r>
      <w:r w:rsidR="00296212">
        <w:rPr>
          <w:sz w:val="20"/>
        </w:rPr>
        <w:t> </w:t>
      </w:r>
      <w:r w:rsidRPr="009C71FD">
        <w:rPr>
          <w:sz w:val="20"/>
        </w:rPr>
        <w:t xml:space="preserve">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0F1923" w:rsidRDefault="000F1923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345F12">
        <w:rPr>
          <w:rFonts w:ascii="Arial" w:hAnsi="Arial" w:cs="Arial"/>
          <w:b/>
          <w:sz w:val="22"/>
          <w:szCs w:val="22"/>
        </w:rPr>
        <w:t>но</w:t>
      </w:r>
      <w:r w:rsidR="005035D0">
        <w:rPr>
          <w:rFonts w:ascii="Arial" w:hAnsi="Arial" w:cs="Arial"/>
          <w:b/>
          <w:sz w:val="22"/>
          <w:szCs w:val="22"/>
        </w:rPr>
        <w:t>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9558F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405557" w:rsidRPr="006B543C" w:rsidRDefault="00405557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102,</w:t>
                  </w:r>
                  <w:r w:rsidR="00155E6B">
                    <w:rPr>
                      <w:rFonts w:ascii="Arial" w:hAnsi="Arial" w:cs="Arial"/>
                      <w:sz w:val="18"/>
                    </w:rPr>
                    <w:t>3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AC1BD8">
      <w:pPr>
        <w:pStyle w:val="ac"/>
        <w:tabs>
          <w:tab w:val="left" w:pos="8789"/>
        </w:tabs>
        <w:spacing w:before="48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F30887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AC1BD8">
      <w:pPr>
        <w:pStyle w:val="20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7"/>
        <w:gridCol w:w="1533"/>
        <w:gridCol w:w="1533"/>
        <w:gridCol w:w="1533"/>
        <w:gridCol w:w="1975"/>
      </w:tblGrid>
      <w:tr w:rsidR="000F1923" w:rsidRPr="00345612" w:rsidTr="000F1923">
        <w:trPr>
          <w:cantSplit/>
          <w:trHeight w:val="296"/>
          <w:tblHeader/>
          <w:jc w:val="center"/>
        </w:trPr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923" w:rsidRPr="00345612" w:rsidRDefault="000F1923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923" w:rsidRPr="00345612" w:rsidRDefault="000F1923" w:rsidP="00345F12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Январь-ноябрь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23" w:rsidRPr="00345612" w:rsidRDefault="000F1923" w:rsidP="00345F12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январь-ноябрь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январю-ноябрю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0F1923" w:rsidRPr="00345612" w:rsidTr="000F1923">
        <w:trPr>
          <w:cantSplit/>
          <w:trHeight w:val="1284"/>
          <w:tblHeader/>
          <w:jc w:val="center"/>
        </w:trPr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23" w:rsidRPr="00345612" w:rsidRDefault="000F1923" w:rsidP="00AC1BD8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923" w:rsidRPr="00345612" w:rsidRDefault="000F1923" w:rsidP="00155E6B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январю-ноябрю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3710CC" w:rsidRDefault="000F1923" w:rsidP="00AC1BD8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345612" w:rsidRDefault="000F1923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345612" w:rsidRDefault="000F1923" w:rsidP="00AC1BD8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0F1923" w:rsidRPr="009A782E" w:rsidTr="000F1923">
        <w:trPr>
          <w:jc w:val="center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60903" w:rsidRDefault="000F1923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5B46EB" w:rsidRDefault="000F1923" w:rsidP="000F1923">
            <w:pPr>
              <w:spacing w:before="20" w:after="20" w:line="200" w:lineRule="exact"/>
              <w:ind w:right="48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5B46EB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158 251,6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5B46EB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3E00C0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9D5006" w:rsidRDefault="000F1923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B6757D" w:rsidRDefault="000F1923" w:rsidP="000F1923">
            <w:pPr>
              <w:spacing w:before="20" w:after="20" w:line="200" w:lineRule="exact"/>
              <w:ind w:right="486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80172D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80172D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0F1923" w:rsidRPr="00957BF0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17 108,2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957BF0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13 789,1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D6A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19 098,8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16 583,6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50 182,4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28 833,1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0F1923" w:rsidRPr="00B6757D" w:rsidTr="000F1923">
        <w:trPr>
          <w:jc w:val="center"/>
        </w:trPr>
        <w:tc>
          <w:tcPr>
            <w:tcW w:w="14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923" w:rsidRPr="00345612" w:rsidRDefault="000F1923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F1923" w:rsidRPr="007D6A8C" w:rsidRDefault="000F1923" w:rsidP="000F1923">
            <w:pPr>
              <w:spacing w:before="20" w:after="20" w:line="200" w:lineRule="exact"/>
              <w:ind w:right="4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12 656,4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F1923" w:rsidRPr="007D6A8C" w:rsidRDefault="000F1923" w:rsidP="000F1923">
            <w:pPr>
              <w:tabs>
                <w:tab w:val="left" w:pos="891"/>
              </w:tabs>
              <w:spacing w:before="20" w:after="20" w:line="200" w:lineRule="exact"/>
              <w:ind w:right="57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923" w:rsidRPr="00B6757D" w:rsidRDefault="000F1923" w:rsidP="000F1923">
            <w:pPr>
              <w:tabs>
                <w:tab w:val="left" w:pos="1128"/>
              </w:tabs>
              <w:spacing w:before="20" w:after="2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</w:tbl>
    <w:p w:rsidR="00242A39" w:rsidRDefault="00242A39" w:rsidP="00BB4A74">
      <w:pPr>
        <w:pStyle w:val="ac"/>
        <w:spacing w:before="0" w:after="0" w:line="18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A93AA7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AC1BD8">
      <w:pPr>
        <w:pStyle w:val="20"/>
        <w:spacing w:before="24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852A46">
        <w:rPr>
          <w:rFonts w:ascii="Arial" w:hAnsi="Arial" w:cs="Arial"/>
          <w:b/>
          <w:sz w:val="22"/>
          <w:szCs w:val="22"/>
        </w:rPr>
        <w:t>январе-</w:t>
      </w:r>
      <w:r w:rsidR="00345F12">
        <w:rPr>
          <w:rFonts w:ascii="Arial" w:hAnsi="Arial" w:cs="Arial"/>
          <w:b/>
          <w:sz w:val="22"/>
          <w:szCs w:val="22"/>
        </w:rPr>
        <w:t>но</w:t>
      </w:r>
      <w:r w:rsidR="005035D0">
        <w:rPr>
          <w:rFonts w:ascii="Arial" w:hAnsi="Arial" w:cs="Arial"/>
          <w:b/>
          <w:sz w:val="22"/>
          <w:szCs w:val="22"/>
        </w:rPr>
        <w:t>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F30887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345F12">
        <w:rPr>
          <w:sz w:val="26"/>
        </w:rPr>
        <w:t>октябре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405557" w:rsidRPr="00E000BE">
        <w:rPr>
          <w:sz w:val="26"/>
        </w:rPr>
        <w:t>103,</w:t>
      </w:r>
      <w:r w:rsidR="00E000BE" w:rsidRPr="00E000BE">
        <w:rPr>
          <w:sz w:val="26"/>
        </w:rPr>
        <w:t>4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345F12">
        <w:rPr>
          <w:sz w:val="26"/>
        </w:rPr>
        <w:t>октября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</w:t>
      </w:r>
      <w:r w:rsidR="004E30D8">
        <w:rPr>
          <w:sz w:val="26"/>
        </w:rPr>
        <w:br/>
      </w:r>
      <w:r>
        <w:rPr>
          <w:sz w:val="26"/>
        </w:rPr>
        <w:t xml:space="preserve">темп роста реальной заработной платы – </w:t>
      </w:r>
      <w:r w:rsidR="004E30D8" w:rsidRPr="00E000BE">
        <w:rPr>
          <w:sz w:val="26"/>
        </w:rPr>
        <w:t>104,</w:t>
      </w:r>
      <w:r w:rsidR="00E000BE" w:rsidRPr="00E000BE">
        <w:rPr>
          <w:sz w:val="26"/>
        </w:rPr>
        <w:t>8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-417195</wp:posOffset>
            </wp:positionH>
            <wp:positionV relativeFrom="paragraph">
              <wp:posOffset>212725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E000BE">
        <w:rPr>
          <w:rFonts w:ascii="Arial" w:hAnsi="Arial" w:cs="Arial"/>
          <w:b/>
          <w:sz w:val="22"/>
          <w:szCs w:val="22"/>
        </w:rPr>
        <w:t>октябре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345F12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345F12">
              <w:rPr>
                <w:sz w:val="22"/>
                <w:szCs w:val="22"/>
              </w:rPr>
              <w:t>октябрю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345F12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</w:t>
            </w:r>
            <w:r w:rsidR="00345F12">
              <w:rPr>
                <w:sz w:val="22"/>
                <w:szCs w:val="22"/>
              </w:rPr>
              <w:t>октябрю</w:t>
            </w:r>
            <w:r w:rsidR="00266444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266444" w:rsidP="00E000BE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E000BE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266444" w:rsidP="00E000BE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000BE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0,9</w:t>
            </w:r>
            <w:r w:rsidR="00A1287F" w:rsidRP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26644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E000BE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E000BE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000BE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266444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000BE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1287F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000BE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26644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000BE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E000BE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E000BE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000BE">
              <w:rPr>
                <w:sz w:val="22"/>
                <w:szCs w:val="22"/>
              </w:rPr>
              <w:t>6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E000BE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266444" w:rsidP="00E000BE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E000BE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A1287F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4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E000BE">
              <w:rPr>
                <w:sz w:val="22"/>
                <w:szCs w:val="22"/>
              </w:rPr>
              <w:t>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000BE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266444" w:rsidP="00E000BE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E000BE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E000BE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E000BE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E000BE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E000BE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14854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14854" w:rsidP="00E000BE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000BE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266444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66444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  <w:bookmarkStart w:id="0" w:name="_GoBack"/>
      <w:bookmarkEnd w:id="0"/>
    </w:p>
    <w:sectPr w:rsidR="00875DC9" w:rsidRPr="00BA681C" w:rsidSect="00D23F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8FC" w:rsidRDefault="009558FC">
      <w:r>
        <w:separator/>
      </w:r>
    </w:p>
  </w:endnote>
  <w:endnote w:type="continuationSeparator" w:id="0">
    <w:p w:rsidR="009558FC" w:rsidRDefault="00955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F1923">
      <w:rPr>
        <w:rStyle w:val="a3"/>
        <w:noProof/>
      </w:rPr>
      <w:t>12</w: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8FC" w:rsidRDefault="009558FC">
      <w:r>
        <w:separator/>
      </w:r>
    </w:p>
  </w:footnote>
  <w:footnote w:type="continuationSeparator" w:id="0">
    <w:p w:rsidR="009558FC" w:rsidRDefault="00955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405557" w:rsidRDefault="004055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923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1FA1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50B7"/>
    <w:rsid w:val="00345612"/>
    <w:rsid w:val="00345F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58FC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3FA5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5.4336173278024792E-2"/>
          <c:w val="0.90717446143182967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097995710282E-2"/>
                  <c:y val="7.33513406548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462769687054215E-2"/>
                  <c:y val="4.9009662435728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363307036882835E-2"/>
                  <c:y val="5.9752252172724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50760682368E-2"/>
                  <c:y val="4.935586271116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6168942349389E-2"/>
                  <c:y val="5.4356383448711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817813095943653E-2"/>
                  <c:y val="5.2688982597554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3090121562618395E-2"/>
                  <c:y val="-5.002928240699872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101,5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97742741683759E-2"/>
                  <c:y val="-5.85374909780803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453451329030758E-2"/>
                  <c:y val="-7.8569379182720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815657766423005E-2"/>
                  <c:y val="4.9115974067910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28826795831688E-2"/>
                  <c:y val="-5.4075858814178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31400811887838E-2"/>
                  <c:y val="5.553531380395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898000467444132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503324494878263E-2"/>
                  <c:y val="-4.7941578280632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246165749240403E-2"/>
                  <c:y val="5.1219354678456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34678712755583E-2"/>
                  <c:y val="-5.791251645594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9139419240967448E-3"/>
                  <c:y val="-4.4905735363521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General</c:formatCode>
                <c:ptCount val="23"/>
                <c:pt idx="11">
                  <c:v>99.1</c:v>
                </c:pt>
                <c:pt idx="12">
                  <c:v>101.5</c:v>
                </c:pt>
                <c:pt idx="13" formatCode="0.0">
                  <c:v>100.9</c:v>
                </c:pt>
                <c:pt idx="14">
                  <c:v>101.1</c:v>
                </c:pt>
                <c:pt idx="15">
                  <c:v>102.8</c:v>
                </c:pt>
                <c:pt idx="16" formatCode="0.0">
                  <c:v>103.3</c:v>
                </c:pt>
                <c:pt idx="17" formatCode="0.0">
                  <c:v>103.5</c:v>
                </c:pt>
                <c:pt idx="18" formatCode="0.0">
                  <c:v>103.4</c:v>
                </c:pt>
                <c:pt idx="19" formatCode="0.0">
                  <c:v>103</c:v>
                </c:pt>
                <c:pt idx="20" formatCode="0.0">
                  <c:v>102.7</c:v>
                </c:pt>
                <c:pt idx="21" formatCode="0.0">
                  <c:v>102.4</c:v>
                </c:pt>
                <c:pt idx="22" formatCode="0.0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848960"/>
        <c:axId val="39883520"/>
      </c:lineChart>
      <c:catAx>
        <c:axId val="39848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8835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9883520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9848960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40249984"/>
        <c:axId val="40264064"/>
      </c:barChart>
      <c:dateAx>
        <c:axId val="4024998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0264064"/>
        <c:crosses val="autoZero"/>
        <c:auto val="0"/>
        <c:lblOffset val="100"/>
        <c:baseTimeUnit val="days"/>
        <c:majorUnit val="3"/>
        <c:minorUnit val="3"/>
      </c:dateAx>
      <c:valAx>
        <c:axId val="40264064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40249984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31.3</c:v>
                </c:pt>
                <c:pt idx="1">
                  <c:v>33.9</c:v>
                </c:pt>
                <c:pt idx="2">
                  <c:v>16.8</c:v>
                </c:pt>
                <c:pt idx="3">
                  <c:v>34.6</c:v>
                </c:pt>
                <c:pt idx="4">
                  <c:v>32.799999999999997</c:v>
                </c:pt>
                <c:pt idx="5">
                  <c:v>26.4</c:v>
                </c:pt>
                <c:pt idx="6">
                  <c:v>26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6.5</c:v>
                </c:pt>
                <c:pt idx="1">
                  <c:v>8.4</c:v>
                </c:pt>
                <c:pt idx="2">
                  <c:v>12.6</c:v>
                </c:pt>
                <c:pt idx="3">
                  <c:v>5.3</c:v>
                </c:pt>
                <c:pt idx="4">
                  <c:v>5.2</c:v>
                </c:pt>
                <c:pt idx="5">
                  <c:v>5.5</c:v>
                </c:pt>
                <c:pt idx="6">
                  <c:v>7.5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4.3</c:v>
                </c:pt>
                <c:pt idx="1">
                  <c:v>4.0999999999999996</c:v>
                </c:pt>
                <c:pt idx="2">
                  <c:v>5.6</c:v>
                </c:pt>
                <c:pt idx="3">
                  <c:v>3.7</c:v>
                </c:pt>
                <c:pt idx="4">
                  <c:v>5.6</c:v>
                </c:pt>
                <c:pt idx="5">
                  <c:v>4.5999999999999996</c:v>
                </c:pt>
                <c:pt idx="6">
                  <c:v>6.7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4.3</c:v>
                </c:pt>
                <c:pt idx="1">
                  <c:v>6.5</c:v>
                </c:pt>
                <c:pt idx="2">
                  <c:v>4</c:v>
                </c:pt>
                <c:pt idx="3">
                  <c:v>4.5999999999999996</c:v>
                </c:pt>
                <c:pt idx="4">
                  <c:v>5.3</c:v>
                </c:pt>
                <c:pt idx="5">
                  <c:v>4.9000000000000004</c:v>
                </c:pt>
                <c:pt idx="6">
                  <c:v>4.0999999999999996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12</c:v>
                </c:pt>
                <c:pt idx="1">
                  <c:v>10.1</c:v>
                </c:pt>
                <c:pt idx="2">
                  <c:v>0.1</c:v>
                </c:pt>
                <c:pt idx="3">
                  <c:v>10.3</c:v>
                </c:pt>
                <c:pt idx="4">
                  <c:v>8.5</c:v>
                </c:pt>
                <c:pt idx="5">
                  <c:v>11.1</c:v>
                </c:pt>
                <c:pt idx="6">
                  <c:v>13.3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2.4</c:v>
                </c:pt>
                <c:pt idx="1">
                  <c:v>0.9</c:v>
                </c:pt>
                <c:pt idx="2" formatCode="0.0;[Red]0.0">
                  <c:v>18.600000000000001</c:v>
                </c:pt>
                <c:pt idx="3" formatCode="General">
                  <c:v>2.6</c:v>
                </c:pt>
                <c:pt idx="4" formatCode="General">
                  <c:v>2.7</c:v>
                </c:pt>
                <c:pt idx="5">
                  <c:v>3.1</c:v>
                </c:pt>
                <c:pt idx="6" formatCode="#,##0.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40304000"/>
        <c:axId val="40326272"/>
      </c:barChart>
      <c:catAx>
        <c:axId val="4030400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03262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326272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4030400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6.3446875909594358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2217540198739E-2"/>
                  <c:y val="3.9910079026382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808998093E-2"/>
                  <c:y val="4.3283995658900412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476207422721524E-2"/>
                  <c:y val="-3.24147416489257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80737211253368E-2"/>
                  <c:y val="-5.0163564093369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99647291514801E-2"/>
                  <c:y val="-3.052376823830425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007066424389258E-2"/>
                  <c:y val="3.834400196378330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971977626223166E-2"/>
                  <c:y val="2.82726814676283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00565427661E-2"/>
                  <c:y val="3.40265515514379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32545183988753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103,9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3652930135869771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47938024840912E-2"/>
                  <c:y val="5.101078192564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Sheet1!$B$2:$W$2</c:f>
              <c:numCache>
                <c:formatCode>0.0</c:formatCode>
                <c:ptCount val="22"/>
                <c:pt idx="0">
                  <c:v>98.2</c:v>
                </c:pt>
                <c:pt idx="1">
                  <c:v>99.5</c:v>
                </c:pt>
                <c:pt idx="2">
                  <c:v>99.9</c:v>
                </c:pt>
                <c:pt idx="3">
                  <c:v>98.7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99.1</c:v>
                </c:pt>
                <c:pt idx="9">
                  <c:v>99.2</c:v>
                </c:pt>
                <c:pt idx="10">
                  <c:v>99.4</c:v>
                </c:pt>
                <c:pt idx="11">
                  <c:v>99.4</c:v>
                </c:pt>
                <c:pt idx="12">
                  <c:v>102.4</c:v>
                </c:pt>
                <c:pt idx="13">
                  <c:v>101.8</c:v>
                </c:pt>
                <c:pt idx="14">
                  <c:v>102</c:v>
                </c:pt>
                <c:pt idx="15">
                  <c:v>103.7</c:v>
                </c:pt>
                <c:pt idx="16">
                  <c:v>104.2</c:v>
                </c:pt>
                <c:pt idx="17">
                  <c:v>104.4</c:v>
                </c:pt>
                <c:pt idx="18">
                  <c:v>104.3</c:v>
                </c:pt>
                <c:pt idx="19">
                  <c:v>103.9</c:v>
                </c:pt>
                <c:pt idx="20">
                  <c:v>103.7</c:v>
                </c:pt>
                <c:pt idx="21">
                  <c:v>103.4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3.5539190694688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178537511870848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31813865147E-2"/>
                  <c:y val="3.993995354897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61348528013E-2"/>
                  <c:y val="3.514379047942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8119658119658E-2"/>
                  <c:y val="4.9532279688060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81861348528013E-2"/>
                  <c:y val="3.993957589833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204971173475107E-2"/>
                  <c:y val="-6.6724069563247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266123785808823E-2"/>
                  <c:y val="-7.1269850261523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63357037635253E-2"/>
                  <c:y val="-3.2862025340357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591994376771277E-2"/>
                  <c:y val="-3.2863913593534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791529263970207E-2"/>
                  <c:y val="-3.7662720217526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193477952008136E-2"/>
                  <c:y val="-4.2471345758039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294307228690431E-2"/>
                  <c:y val="-4.255556184973281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30524469655608E-2"/>
                  <c:y val="-3.679889484538578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86347967187864E-2"/>
                  <c:y val="-3.679148020166544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883190883190883E-2"/>
                  <c:y val="-3.679865556373794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Sheet1!$B$1:$W$1</c:f>
              <c:strCache>
                <c:ptCount val="2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</c:strCache>
            </c:strRef>
          </c:cat>
          <c:val>
            <c:numRef>
              <c:f>Sheet1!$B$3:$W$3</c:f>
              <c:numCache>
                <c:formatCode>0.0</c:formatCode>
                <c:ptCount val="22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  <c:pt idx="16">
                  <c:v>105.9</c:v>
                </c:pt>
                <c:pt idx="17">
                  <c:v>105.6</c:v>
                </c:pt>
                <c:pt idx="18">
                  <c:v>105.4</c:v>
                </c:pt>
                <c:pt idx="19">
                  <c:v>105.2</c:v>
                </c:pt>
                <c:pt idx="20">
                  <c:v>104.9</c:v>
                </c:pt>
                <c:pt idx="21">
                  <c:v>104.8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0673664"/>
        <c:axId val="40675200"/>
      </c:lineChart>
      <c:catAx>
        <c:axId val="40673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06752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0675200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067366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0.1356</cdr:x>
      <cdr:y>0.81949</cdr:y>
    </cdr:from>
    <cdr:to>
      <cdr:x>0.84355</cdr:x>
      <cdr:y>0.91388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60" y="1649597"/>
          <a:ext cx="4392062" cy="189999"/>
          <a:chOff x="3488303" y="2202293"/>
          <a:chExt cx="2338550" cy="1014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9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0.24683</cdr:x>
      <cdr:y>0.80016</cdr:y>
    </cdr:from>
    <cdr:to>
      <cdr:x>0.90003</cdr:x>
      <cdr:y>0.89127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4" y="2116761"/>
          <a:ext cx="4368906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5B22D-91C1-47E4-AFFA-37DC629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4927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218</cp:revision>
  <cp:lastPrinted>2021-12-17T12:38:00Z</cp:lastPrinted>
  <dcterms:created xsi:type="dcterms:W3CDTF">2019-12-17T16:52:00Z</dcterms:created>
  <dcterms:modified xsi:type="dcterms:W3CDTF">2021-12-27T07:16:00Z</dcterms:modified>
</cp:coreProperties>
</file>