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B4" w:rsidRPr="00C5308A" w:rsidRDefault="004A0599" w:rsidP="009B6EB4">
      <w:pPr>
        <w:jc w:val="center"/>
        <w:rPr>
          <w:rFonts w:ascii="Arial" w:hAnsi="Arial"/>
          <w:b/>
          <w:sz w:val="26"/>
          <w:szCs w:val="26"/>
        </w:rPr>
      </w:pPr>
      <w:r w:rsidRPr="00C5308A">
        <w:rPr>
          <w:rFonts w:ascii="Arial" w:hAnsi="Arial"/>
          <w:b/>
          <w:sz w:val="26"/>
          <w:szCs w:val="26"/>
        </w:rPr>
        <w:t>8</w:t>
      </w:r>
      <w:r w:rsidR="009B6EB4" w:rsidRPr="00C5308A">
        <w:rPr>
          <w:rFonts w:ascii="Arial" w:hAnsi="Arial"/>
          <w:b/>
          <w:sz w:val="26"/>
          <w:szCs w:val="26"/>
        </w:rPr>
        <w:t>. ВНУТРЕННЯЯ ТОРГОВЛЯ И ОБЩЕСТВЕННОЕ ПИТАНИЕ</w:t>
      </w:r>
    </w:p>
    <w:p w:rsidR="009B6EB4" w:rsidRPr="00C5308A" w:rsidRDefault="004A0599" w:rsidP="003C1933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  <w:szCs w:val="26"/>
        </w:rPr>
      </w:pPr>
      <w:r w:rsidRPr="00C5308A">
        <w:rPr>
          <w:rFonts w:ascii="Arial" w:hAnsi="Arial" w:cs="Arial"/>
          <w:b/>
          <w:szCs w:val="26"/>
        </w:rPr>
        <w:t>8</w:t>
      </w:r>
      <w:r w:rsidR="009B6EB4" w:rsidRPr="00C5308A">
        <w:rPr>
          <w:rFonts w:ascii="Arial" w:hAnsi="Arial" w:cs="Arial"/>
          <w:b/>
          <w:szCs w:val="26"/>
        </w:rPr>
        <w:t>.</w:t>
      </w:r>
      <w:r w:rsidR="00BC5DEA" w:rsidRPr="00C5308A">
        <w:rPr>
          <w:rFonts w:ascii="Arial" w:hAnsi="Arial" w:cs="Arial"/>
          <w:b/>
          <w:szCs w:val="26"/>
        </w:rPr>
        <w:t>1</w:t>
      </w:r>
      <w:r w:rsidR="009B6EB4" w:rsidRPr="00C5308A">
        <w:rPr>
          <w:rFonts w:ascii="Arial" w:hAnsi="Arial" w:cs="Arial"/>
          <w:b/>
          <w:szCs w:val="26"/>
        </w:rPr>
        <w:t>. Оптовая торговля</w:t>
      </w:r>
    </w:p>
    <w:p w:rsidR="009B6EB4" w:rsidRPr="0041492D" w:rsidRDefault="009B6EB4" w:rsidP="009B6EB4">
      <w:pPr>
        <w:pStyle w:val="a8"/>
        <w:spacing w:after="120" w:line="340" w:lineRule="exact"/>
        <w:contextualSpacing/>
      </w:pPr>
      <w:r w:rsidRPr="0041492D">
        <w:rPr>
          <w:b/>
          <w:bCs/>
          <w:szCs w:val="26"/>
        </w:rPr>
        <w:t xml:space="preserve">Оптовый товарооборот </w:t>
      </w:r>
      <w:r w:rsidRPr="0041492D">
        <w:rPr>
          <w:bCs/>
          <w:szCs w:val="26"/>
        </w:rPr>
        <w:t>в</w:t>
      </w:r>
      <w:r>
        <w:rPr>
          <w:bCs/>
          <w:szCs w:val="26"/>
        </w:rPr>
        <w:t xml:space="preserve"> январе </w:t>
      </w:r>
      <w:r w:rsidRPr="0041492D">
        <w:rPr>
          <w:bCs/>
          <w:szCs w:val="26"/>
        </w:rPr>
        <w:t>201</w:t>
      </w:r>
      <w:r w:rsidR="003C1933">
        <w:rPr>
          <w:bCs/>
          <w:szCs w:val="26"/>
        </w:rPr>
        <w:t>9</w:t>
      </w:r>
      <w:r w:rsidRPr="0041492D">
        <w:rPr>
          <w:bCs/>
          <w:szCs w:val="26"/>
        </w:rPr>
        <w:t> г</w:t>
      </w:r>
      <w:r>
        <w:rPr>
          <w:bCs/>
          <w:szCs w:val="26"/>
        </w:rPr>
        <w:t xml:space="preserve">. </w:t>
      </w:r>
      <w:r w:rsidRPr="0041492D">
        <w:rPr>
          <w:bCs/>
          <w:szCs w:val="26"/>
        </w:rPr>
        <w:t xml:space="preserve">составил </w:t>
      </w:r>
      <w:r w:rsidR="0088293A">
        <w:rPr>
          <w:bCs/>
          <w:szCs w:val="26"/>
        </w:rPr>
        <w:t>7,4</w:t>
      </w:r>
      <w:r>
        <w:rPr>
          <w:bCs/>
          <w:szCs w:val="26"/>
        </w:rPr>
        <w:t xml:space="preserve"> млрд</w:t>
      </w:r>
      <w:r w:rsidRPr="0041492D">
        <w:rPr>
          <w:bCs/>
          <w:szCs w:val="26"/>
        </w:rPr>
        <w:t xml:space="preserve">. рублей, </w:t>
      </w:r>
      <w:r>
        <w:rPr>
          <w:bCs/>
          <w:szCs w:val="26"/>
        </w:rPr>
        <w:br/>
      </w:r>
      <w:r w:rsidRPr="0041492D">
        <w:rPr>
          <w:bCs/>
          <w:szCs w:val="26"/>
        </w:rPr>
        <w:t xml:space="preserve">или в сопоставимых ценах </w:t>
      </w:r>
      <w:r w:rsidR="0088293A">
        <w:rPr>
          <w:bCs/>
          <w:szCs w:val="26"/>
        </w:rPr>
        <w:t>99,3</w:t>
      </w:r>
      <w:r w:rsidRPr="0041492D">
        <w:rPr>
          <w:bCs/>
          <w:szCs w:val="26"/>
        </w:rPr>
        <w:t>% к уровню</w:t>
      </w:r>
      <w:r>
        <w:rPr>
          <w:bCs/>
          <w:szCs w:val="26"/>
        </w:rPr>
        <w:t xml:space="preserve"> января </w:t>
      </w:r>
      <w:r w:rsidRPr="0041492D">
        <w:rPr>
          <w:bCs/>
          <w:szCs w:val="26"/>
        </w:rPr>
        <w:t>201</w:t>
      </w:r>
      <w:r w:rsidR="00BC5DEA">
        <w:rPr>
          <w:bCs/>
          <w:szCs w:val="26"/>
        </w:rPr>
        <w:t>8</w:t>
      </w:r>
      <w:r w:rsidRPr="0041492D">
        <w:rPr>
          <w:bCs/>
          <w:szCs w:val="26"/>
        </w:rPr>
        <w:t xml:space="preserve"> г</w:t>
      </w:r>
      <w:r>
        <w:rPr>
          <w:bCs/>
          <w:szCs w:val="26"/>
        </w:rPr>
        <w:t>.</w:t>
      </w:r>
    </w:p>
    <w:p w:rsidR="009B6EB4" w:rsidRPr="008B2BDE" w:rsidRDefault="009B6EB4" w:rsidP="009B6EB4">
      <w:pPr>
        <w:pStyle w:val="a8"/>
        <w:spacing w:before="0" w:after="120" w:line="340" w:lineRule="exact"/>
        <w:contextualSpacing/>
      </w:pPr>
      <w:r w:rsidRPr="0041492D">
        <w:t>Вклад организаций с основным видом экономической деятельности «Оптовая торговля» состав</w:t>
      </w:r>
      <w:r>
        <w:t xml:space="preserve">ил </w:t>
      </w:r>
      <w:r w:rsidRPr="00FE4237">
        <w:t>7</w:t>
      </w:r>
      <w:r>
        <w:t>4</w:t>
      </w:r>
      <w:r w:rsidRPr="00FE4237">
        <w:t>,</w:t>
      </w:r>
      <w:r w:rsidR="00E07C0F" w:rsidRPr="00E07C0F">
        <w:t>3</w:t>
      </w:r>
      <w:r w:rsidRPr="00FE4237">
        <w:t>%</w:t>
      </w:r>
      <w:r w:rsidRPr="0041492D">
        <w:t xml:space="preserve"> в общем объеме оптового товарооборота республики.</w:t>
      </w:r>
    </w:p>
    <w:p w:rsidR="009B6EB4" w:rsidRDefault="009B6EB4" w:rsidP="009B6EB4">
      <w:pPr>
        <w:pStyle w:val="a3"/>
        <w:tabs>
          <w:tab w:val="left" w:pos="708"/>
        </w:tabs>
        <w:spacing w:line="22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9B6EB4" w:rsidRPr="00245363" w:rsidRDefault="009B6EB4" w:rsidP="006675C7">
      <w:pPr>
        <w:pStyle w:val="a3"/>
        <w:tabs>
          <w:tab w:val="left" w:pos="708"/>
        </w:tabs>
        <w:spacing w:after="120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9B6EB4" w:rsidRPr="00245363" w:rsidRDefault="00B06752" w:rsidP="009B6EB4">
      <w:pPr>
        <w:pStyle w:val="a3"/>
        <w:tabs>
          <w:tab w:val="left" w:pos="708"/>
        </w:tabs>
        <w:jc w:val="center"/>
        <w:rPr>
          <w:rFonts w:ascii="Arial" w:hAnsi="Arial" w:cs="Arial"/>
          <w:i/>
        </w:rPr>
      </w:pPr>
      <w:r w:rsidRPr="00B06752">
        <w:pict>
          <v:group id="_x0000_s2389" style="position:absolute;left:0;text-align:left;margin-left:182.65pt;margin-top:134pt;width:284.45pt;height:22.55pt;z-index:251812864" coordorigin="4352,7959" coordsize="5689,40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390" type="#_x0000_t202" style="position:absolute;left:4352;top:7959;width:1206;height:352" filled="f" stroked="f">
              <v:textbox style="mso-next-textbox:#_x0000_s2390">
                <w:txbxContent>
                  <w:p w:rsidR="0058723E" w:rsidRDefault="0058723E" w:rsidP="009B6EB4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2018 г.</w:t>
                    </w:r>
                  </w:p>
                </w:txbxContent>
              </v:textbox>
            </v:shape>
            <v:shape id="_x0000_s2391" type="#_x0000_t202" style="position:absolute;left:8843;top:7959;width:1198;height:400" filled="f" stroked="f">
              <v:textbox style="mso-next-textbox:#_x0000_s2391">
                <w:txbxContent>
                  <w:p w:rsidR="0058723E" w:rsidRDefault="0058723E" w:rsidP="009B6EB4">
                    <w:pP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 xml:space="preserve">   2019 г.</w:t>
                    </w:r>
                  </w:p>
                </w:txbxContent>
              </v:textbox>
            </v:shape>
          </v:group>
        </w:pict>
      </w:r>
      <w:r w:rsidR="009B6EB4">
        <w:rPr>
          <w:noProof/>
        </w:rPr>
        <w:drawing>
          <wp:inline distT="0" distB="0" distL="0" distR="0">
            <wp:extent cx="5760085" cy="1969577"/>
            <wp:effectExtent l="0" t="0" r="0" b="0"/>
            <wp:docPr id="6" name="Объект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9B6EB4" w:rsidRPr="00C06E80" w:rsidRDefault="009B6EB4" w:rsidP="009B6EB4">
      <w:pPr>
        <w:pStyle w:val="a3"/>
        <w:tabs>
          <w:tab w:val="clear" w:pos="8306"/>
          <w:tab w:val="right" w:pos="9214"/>
        </w:tabs>
        <w:spacing w:before="120" w:after="120"/>
        <w:ind w:firstLine="709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 по областям и г</w:t>
      </w:r>
      <w:proofErr w:type="gramStart"/>
      <w:r>
        <w:rPr>
          <w:rFonts w:ascii="Arial" w:hAnsi="Arial" w:cs="Arial"/>
          <w:b/>
          <w:sz w:val="22"/>
          <w:szCs w:val="26"/>
        </w:rPr>
        <w:t>.М</w:t>
      </w:r>
      <w:proofErr w:type="gramEnd"/>
      <w:r>
        <w:rPr>
          <w:rFonts w:ascii="Arial" w:hAnsi="Arial" w:cs="Arial"/>
          <w:b/>
          <w:sz w:val="22"/>
          <w:szCs w:val="26"/>
        </w:rPr>
        <w:t>инску</w:t>
      </w:r>
    </w:p>
    <w:tbl>
      <w:tblPr>
        <w:tblW w:w="4890" w:type="pct"/>
        <w:jc w:val="center"/>
        <w:tblInd w:w="10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39"/>
        <w:gridCol w:w="1883"/>
        <w:gridCol w:w="1594"/>
        <w:gridCol w:w="1596"/>
        <w:gridCol w:w="1596"/>
      </w:tblGrid>
      <w:tr w:rsidR="009B6EB4" w:rsidTr="00CE583B">
        <w:trPr>
          <w:trHeight w:val="154"/>
          <w:tblHeader/>
          <w:jc w:val="center"/>
        </w:trPr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6EB4" w:rsidRDefault="009B6EB4" w:rsidP="00CE583B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B6EB4" w:rsidRPr="00842F56" w:rsidRDefault="009B6EB4" w:rsidP="00CE583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</w:r>
            <w:r w:rsidRPr="00842F56">
              <w:rPr>
                <w:sz w:val="22"/>
                <w:szCs w:val="22"/>
              </w:rPr>
              <w:t>201</w:t>
            </w:r>
            <w:r w:rsidR="00CE583B">
              <w:rPr>
                <w:sz w:val="22"/>
                <w:szCs w:val="22"/>
              </w:rPr>
              <w:t>9</w:t>
            </w:r>
            <w:r w:rsidRPr="00842F56">
              <w:rPr>
                <w:sz w:val="22"/>
                <w:szCs w:val="22"/>
              </w:rPr>
              <w:t xml:space="preserve"> г.,</w:t>
            </w:r>
            <w:r w:rsidRPr="00842F56">
              <w:rPr>
                <w:sz w:val="22"/>
                <w:szCs w:val="22"/>
              </w:rPr>
              <w:br/>
              <w:t xml:space="preserve">млн. руб. </w:t>
            </w:r>
            <w:r w:rsidRPr="00842F5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65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6EB4" w:rsidRPr="00842F56" w:rsidRDefault="009B6EB4" w:rsidP="00CE583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842F56">
              <w:rPr>
                <w:sz w:val="22"/>
                <w:szCs w:val="22"/>
              </w:rPr>
              <w:t>В сопоставимых ценах</w:t>
            </w:r>
          </w:p>
        </w:tc>
      </w:tr>
      <w:tr w:rsidR="009B6EB4" w:rsidTr="00CE583B">
        <w:trPr>
          <w:trHeight w:val="411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B6EB4" w:rsidRDefault="009B6EB4" w:rsidP="00CE583B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  <w:tcBorders>
              <w:left w:val="nil"/>
              <w:right w:val="single" w:sz="4" w:space="0" w:color="auto"/>
            </w:tcBorders>
            <w:hideMark/>
          </w:tcPr>
          <w:p w:rsidR="009B6EB4" w:rsidRDefault="009B6EB4" w:rsidP="00CE583B">
            <w:pPr>
              <w:spacing w:before="30" w:after="30" w:line="24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77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6EB4" w:rsidRDefault="009B6EB4" w:rsidP="00CE583B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842F56">
              <w:rPr>
                <w:sz w:val="22"/>
                <w:szCs w:val="22"/>
              </w:rPr>
              <w:t>201</w:t>
            </w:r>
            <w:r w:rsidR="00CE583B">
              <w:rPr>
                <w:sz w:val="22"/>
                <w:szCs w:val="22"/>
              </w:rPr>
              <w:t>9</w:t>
            </w:r>
            <w:r w:rsidRPr="00842F56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 w:rsidRPr="00842F56">
              <w:rPr>
                <w:sz w:val="22"/>
                <w:szCs w:val="22"/>
              </w:rPr>
              <w:t>в</w:t>
            </w:r>
            <w:proofErr w:type="gramEnd"/>
            <w:r w:rsidRPr="00842F56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8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B6EB4" w:rsidRDefault="009B6EB4" w:rsidP="00CE583B">
            <w:pPr>
              <w:spacing w:before="30" w:after="30" w:line="240" w:lineRule="exact"/>
              <w:jc w:val="center"/>
              <w:rPr>
                <w:sz w:val="22"/>
                <w:szCs w:val="22"/>
                <w:u w:val="single"/>
              </w:rPr>
            </w:pPr>
            <w:proofErr w:type="spellStart"/>
            <w:r w:rsidRPr="00842F56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842F56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842F56">
              <w:rPr>
                <w:sz w:val="22"/>
                <w:szCs w:val="22"/>
              </w:rPr>
              <w:t>201</w:t>
            </w:r>
            <w:r w:rsidR="00CE583B">
              <w:rPr>
                <w:sz w:val="22"/>
                <w:szCs w:val="22"/>
              </w:rPr>
              <w:t>8</w:t>
            </w:r>
            <w:r w:rsidRPr="00842F56">
              <w:rPr>
                <w:sz w:val="22"/>
                <w:szCs w:val="22"/>
              </w:rPr>
              <w:t xml:space="preserve"> г.</w:t>
            </w:r>
            <w:r w:rsidRPr="00842F56">
              <w:rPr>
                <w:sz w:val="22"/>
                <w:szCs w:val="22"/>
              </w:rPr>
              <w:br/>
            </w:r>
            <w:proofErr w:type="gramStart"/>
            <w:r w:rsidRPr="00842F56">
              <w:rPr>
                <w:sz w:val="22"/>
                <w:szCs w:val="22"/>
              </w:rPr>
              <w:t>в</w:t>
            </w:r>
            <w:proofErr w:type="gramEnd"/>
            <w:r w:rsidRPr="00842F56">
              <w:rPr>
                <w:sz w:val="22"/>
                <w:szCs w:val="22"/>
              </w:rPr>
              <w:t xml:space="preserve"> % </w:t>
            </w:r>
            <w:proofErr w:type="gramStart"/>
            <w:r w:rsidRPr="00842F56"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</w:t>
            </w:r>
            <w:r w:rsidRPr="00842F56">
              <w:rPr>
                <w:sz w:val="22"/>
                <w:szCs w:val="22"/>
              </w:rPr>
              <w:br/>
              <w:t>201</w:t>
            </w:r>
            <w:r w:rsidR="00CE583B">
              <w:rPr>
                <w:sz w:val="22"/>
                <w:szCs w:val="22"/>
              </w:rPr>
              <w:t>7</w:t>
            </w:r>
            <w:r w:rsidRPr="00842F56">
              <w:rPr>
                <w:sz w:val="22"/>
                <w:szCs w:val="22"/>
              </w:rPr>
              <w:t xml:space="preserve"> г.</w:t>
            </w:r>
          </w:p>
        </w:tc>
      </w:tr>
      <w:tr w:rsidR="009B6EB4" w:rsidTr="00CE583B">
        <w:trPr>
          <w:trHeight w:val="590"/>
          <w:tblHeader/>
          <w:jc w:val="center"/>
        </w:trPr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6EB4" w:rsidRDefault="009B6EB4" w:rsidP="00CE583B">
            <w:pPr>
              <w:spacing w:before="30" w:after="30" w:line="240" w:lineRule="exact"/>
              <w:rPr>
                <w:sz w:val="22"/>
                <w:szCs w:val="22"/>
              </w:rPr>
            </w:pPr>
          </w:p>
        </w:tc>
        <w:tc>
          <w:tcPr>
            <w:tcW w:w="104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B6EB4" w:rsidRDefault="009B6EB4" w:rsidP="00CE583B">
            <w:pPr>
              <w:spacing w:before="30" w:after="30" w:line="24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6EB4" w:rsidRDefault="009B6EB4" w:rsidP="00CE583B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 w:rsidRPr="00842F56">
              <w:rPr>
                <w:sz w:val="22"/>
                <w:szCs w:val="22"/>
              </w:rPr>
              <w:br/>
              <w:t>201</w:t>
            </w:r>
            <w:r w:rsidR="00CE583B">
              <w:rPr>
                <w:sz w:val="22"/>
                <w:szCs w:val="22"/>
              </w:rPr>
              <w:t>8</w:t>
            </w:r>
            <w:r w:rsidRPr="00842F5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6" w:type="pc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B6EB4" w:rsidRDefault="009B6EB4" w:rsidP="00CE583B">
            <w:pPr>
              <w:spacing w:before="30" w:after="3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</w:t>
            </w:r>
            <w:r w:rsidR="00CE583B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EB4" w:rsidRPr="00842F56" w:rsidRDefault="009B6EB4" w:rsidP="00CE583B">
            <w:pPr>
              <w:spacing w:before="30" w:after="30" w:line="24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9B6EB4" w:rsidTr="00CE583B">
        <w:trPr>
          <w:trHeight w:val="20"/>
          <w:jc w:val="center"/>
        </w:trPr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BF3467" w:rsidRDefault="009B6EB4" w:rsidP="00CE583B">
            <w:pPr>
              <w:spacing w:before="120" w:after="120" w:line="240" w:lineRule="exact"/>
              <w:rPr>
                <w:b/>
                <w:sz w:val="22"/>
                <w:szCs w:val="22"/>
              </w:rPr>
            </w:pPr>
            <w:r w:rsidRPr="00BF3467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501DD" w:rsidRDefault="0088293A" w:rsidP="00CE583B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7 357,9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BF3467" w:rsidRDefault="000D3E37" w:rsidP="00CE583B">
            <w:pPr>
              <w:spacing w:before="120" w:after="120" w:line="22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BF3467" w:rsidRDefault="000D3E37" w:rsidP="00CE583B">
            <w:pPr>
              <w:spacing w:before="120" w:after="120" w:line="220" w:lineRule="exact"/>
              <w:ind w:right="51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91,7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BF3467" w:rsidRDefault="000D3E37" w:rsidP="00CE583B">
            <w:pPr>
              <w:spacing w:before="120" w:after="120" w:line="220" w:lineRule="exact"/>
              <w:ind w:right="51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104,7</w:t>
            </w:r>
          </w:p>
        </w:tc>
      </w:tr>
      <w:tr w:rsidR="009B6EB4" w:rsidTr="00CE583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CE3F79" w:rsidRDefault="0045398F" w:rsidP="00CE583B">
            <w:pPr>
              <w:spacing w:before="120" w:after="120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9B6EB4" w:rsidRPr="00CE3F79">
              <w:rPr>
                <w:sz w:val="22"/>
                <w:szCs w:val="22"/>
              </w:rPr>
              <w:t>бласти и г</w:t>
            </w:r>
            <w:proofErr w:type="gramStart"/>
            <w:r w:rsidR="009B6EB4" w:rsidRPr="00CE3F79">
              <w:rPr>
                <w:sz w:val="22"/>
                <w:szCs w:val="22"/>
              </w:rPr>
              <w:t>.М</w:t>
            </w:r>
            <w:proofErr w:type="gramEnd"/>
            <w:r w:rsidR="009B6EB4" w:rsidRPr="00CE3F79">
              <w:rPr>
                <w:sz w:val="22"/>
                <w:szCs w:val="22"/>
              </w:rPr>
              <w:t>инск: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6EB4" w:rsidRPr="00877045" w:rsidRDefault="009B6EB4" w:rsidP="00CE583B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6EB4" w:rsidRDefault="009B6EB4" w:rsidP="00CE583B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6EB4" w:rsidRDefault="009B6EB4" w:rsidP="00CE583B">
            <w:pPr>
              <w:spacing w:before="120" w:after="120" w:line="220" w:lineRule="exact"/>
              <w:ind w:right="514"/>
              <w:jc w:val="right"/>
              <w:rPr>
                <w:sz w:val="22"/>
              </w:rPr>
            </w:pP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6EB4" w:rsidRPr="00877045" w:rsidRDefault="009B6EB4" w:rsidP="00CE583B">
            <w:pPr>
              <w:spacing w:before="120" w:after="12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</w:p>
        </w:tc>
      </w:tr>
      <w:tr w:rsidR="009B6EB4" w:rsidTr="00CE583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CE3F79" w:rsidRDefault="009B6EB4" w:rsidP="00CE583B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Брестская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B21212" w:rsidRDefault="0088293A" w:rsidP="00CE583B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248,5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98,2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514"/>
              <w:jc w:val="right"/>
              <w:rPr>
                <w:sz w:val="22"/>
              </w:rPr>
            </w:pPr>
            <w:r>
              <w:rPr>
                <w:sz w:val="22"/>
              </w:rPr>
              <w:t>86,6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B21212" w:rsidRDefault="000D3E37" w:rsidP="00CE583B">
            <w:pPr>
              <w:spacing w:before="120" w:after="12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107,3</w:t>
            </w:r>
          </w:p>
        </w:tc>
      </w:tr>
      <w:tr w:rsidR="009B6EB4" w:rsidTr="00CE583B">
        <w:trPr>
          <w:trHeight w:val="242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CE3F79" w:rsidRDefault="009B6EB4" w:rsidP="00CE583B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Витебская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88293A" w:rsidP="00CE583B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202,7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52,1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514"/>
              <w:jc w:val="right"/>
              <w:rPr>
                <w:sz w:val="22"/>
              </w:rPr>
            </w:pPr>
            <w:r>
              <w:rPr>
                <w:sz w:val="22"/>
              </w:rPr>
              <w:t>78,4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spacing w:before="120" w:after="12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80,9</w:t>
            </w:r>
          </w:p>
        </w:tc>
      </w:tr>
      <w:tr w:rsidR="009B6EB4" w:rsidTr="00CE583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CE3F79" w:rsidRDefault="009B6EB4" w:rsidP="00CE583B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Гомельская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517,0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514"/>
              <w:jc w:val="right"/>
              <w:rPr>
                <w:sz w:val="22"/>
              </w:rPr>
            </w:pPr>
            <w:r>
              <w:rPr>
                <w:sz w:val="22"/>
              </w:rPr>
              <w:t>124,0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spacing w:before="120" w:after="12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108,9</w:t>
            </w:r>
          </w:p>
        </w:tc>
      </w:tr>
      <w:tr w:rsidR="009B6EB4" w:rsidTr="00CE583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CE3F79" w:rsidRDefault="009B6EB4" w:rsidP="00CE583B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171,4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514"/>
              <w:jc w:val="right"/>
              <w:rPr>
                <w:sz w:val="22"/>
              </w:rPr>
            </w:pPr>
            <w:r>
              <w:rPr>
                <w:sz w:val="22"/>
              </w:rPr>
              <w:t>98,1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spacing w:before="120" w:after="12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96,2</w:t>
            </w:r>
          </w:p>
        </w:tc>
      </w:tr>
      <w:tr w:rsidR="009B6EB4" w:rsidTr="00CE583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CE3F79" w:rsidRDefault="009B6EB4" w:rsidP="00CE583B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г</w:t>
            </w:r>
            <w:proofErr w:type="gramStart"/>
            <w:r w:rsidRPr="00CE3F79">
              <w:rPr>
                <w:sz w:val="22"/>
                <w:szCs w:val="22"/>
              </w:rPr>
              <w:t>.М</w:t>
            </w:r>
            <w:proofErr w:type="gramEnd"/>
            <w:r w:rsidRPr="00CE3F79">
              <w:rPr>
                <w:sz w:val="22"/>
                <w:szCs w:val="22"/>
              </w:rPr>
              <w:t>инск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5 318,1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514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spacing w:before="120" w:after="12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105,5</w:t>
            </w:r>
          </w:p>
        </w:tc>
      </w:tr>
      <w:tr w:rsidR="009B6EB4" w:rsidTr="00CE583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CE3F79" w:rsidRDefault="009B6EB4" w:rsidP="00CE583B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Минская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772,6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514"/>
              <w:jc w:val="right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spacing w:before="120" w:after="12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106,0</w:t>
            </w:r>
          </w:p>
        </w:tc>
      </w:tr>
      <w:tr w:rsidR="009B6EB4" w:rsidTr="00CE583B">
        <w:trPr>
          <w:trHeight w:val="20"/>
          <w:jc w:val="center"/>
        </w:trPr>
        <w:tc>
          <w:tcPr>
            <w:tcW w:w="12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B6EB4" w:rsidRPr="00CE3F79" w:rsidRDefault="009B6EB4" w:rsidP="00CE583B">
            <w:pPr>
              <w:spacing w:before="120" w:after="120" w:line="240" w:lineRule="exact"/>
              <w:ind w:left="113"/>
              <w:rPr>
                <w:sz w:val="22"/>
                <w:szCs w:val="22"/>
              </w:rPr>
            </w:pPr>
            <w:r w:rsidRPr="00CE3F79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tabs>
                <w:tab w:val="left" w:pos="963"/>
              </w:tabs>
              <w:spacing w:before="120" w:after="120" w:line="220" w:lineRule="exact"/>
              <w:ind w:right="497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127,6</w:t>
            </w:r>
          </w:p>
        </w:tc>
        <w:tc>
          <w:tcPr>
            <w:tcW w:w="8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85,5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B6EB4" w:rsidRDefault="000D3E37" w:rsidP="00CE583B">
            <w:pPr>
              <w:spacing w:before="120" w:after="120" w:line="220" w:lineRule="exact"/>
              <w:ind w:right="514"/>
              <w:jc w:val="right"/>
              <w:rPr>
                <w:sz w:val="22"/>
              </w:rPr>
            </w:pPr>
            <w:r>
              <w:rPr>
                <w:sz w:val="22"/>
              </w:rPr>
              <w:t>78,6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9B6EB4" w:rsidRPr="00877045" w:rsidRDefault="000D3E37" w:rsidP="00CE583B">
            <w:pPr>
              <w:spacing w:before="120" w:after="120" w:line="220" w:lineRule="exact"/>
              <w:ind w:right="514"/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114,7</w:t>
            </w:r>
          </w:p>
        </w:tc>
      </w:tr>
    </w:tbl>
    <w:p w:rsidR="009B6EB4" w:rsidRDefault="009B6EB4" w:rsidP="00F65CB8">
      <w:pPr>
        <w:jc w:val="center"/>
        <w:rPr>
          <w:rFonts w:ascii="Arial" w:hAnsi="Arial"/>
          <w:b/>
          <w:sz w:val="24"/>
          <w:lang w:val="en-US"/>
        </w:rPr>
      </w:pPr>
    </w:p>
    <w:p w:rsidR="00E07C0F" w:rsidRDefault="00E07C0F" w:rsidP="00E07C0F">
      <w:pPr>
        <w:pStyle w:val="a3"/>
        <w:tabs>
          <w:tab w:val="left" w:pos="708"/>
        </w:tabs>
        <w:spacing w:before="120" w:after="8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8.2. Структура ресурсов потребительских товаров</w:t>
      </w:r>
    </w:p>
    <w:p w:rsidR="00E07C0F" w:rsidRDefault="00E07C0F" w:rsidP="00E07C0F">
      <w:pPr>
        <w:pStyle w:val="a3"/>
        <w:tabs>
          <w:tab w:val="left" w:pos="708"/>
        </w:tabs>
        <w:spacing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2018 году</w:t>
      </w:r>
    </w:p>
    <w:p w:rsidR="00E07C0F" w:rsidRDefault="00E07C0F" w:rsidP="00E07C0F">
      <w:pPr>
        <w:spacing w:before="120" w:after="2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E07C0F" w:rsidRDefault="00B06752" w:rsidP="00E07C0F">
      <w:pPr>
        <w:jc w:val="both"/>
        <w:rPr>
          <w:i/>
          <w:iCs/>
          <w:sz w:val="6"/>
          <w:szCs w:val="6"/>
        </w:rPr>
      </w:pPr>
      <w:r w:rsidRPr="00B06752">
        <w:pict>
          <v:shape id="_x0000_s2411" type="#_x0000_t202" style="position:absolute;left:0;text-align:left;margin-left:208.8pt;margin-top:176.6pt;width:145.95pt;height:24.75pt;z-index:251822080" filled="f" stroked="f">
            <v:textbox style="mso-next-textbox:#_x0000_s2411">
              <w:txbxContent>
                <w:p w:rsidR="0058723E" w:rsidRDefault="0058723E" w:rsidP="00E07C0F">
                  <w:pPr>
                    <w:rPr>
                      <w:rFonts w:ascii="Arial" w:hAnsi="Arial" w:cs="Arial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Соки фруктовые и овощные</w:t>
                  </w:r>
                </w:p>
              </w:txbxContent>
            </v:textbox>
          </v:shape>
        </w:pict>
      </w:r>
      <w:r w:rsidRPr="00B06752">
        <w:pict>
          <v:shape id="_x0000_s2408" type="#_x0000_t202" style="position:absolute;left:0;text-align:left;margin-left:208.8pt;margin-top:194.7pt;width:56.3pt;height:18.8pt;z-index:251819008" filled="f" stroked="f">
            <v:textbox style="mso-next-textbox:#_x0000_s2408">
              <w:txbxContent>
                <w:p w:rsidR="0058723E" w:rsidRDefault="0058723E" w:rsidP="00E07C0F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Маргарин</w:t>
                  </w:r>
                </w:p>
              </w:txbxContent>
            </v:textbox>
          </v:shape>
        </w:pict>
      </w:r>
      <w:r w:rsidRPr="00B06752">
        <w:pict>
          <v:shape id="_x0000_s2410" type="#_x0000_t202" style="position:absolute;left:0;text-align:left;margin-left:288.2pt;margin-top:94.9pt;width:51.3pt;height:16.85pt;z-index:251821056" filled="f" stroked="f">
            <v:textbox style="mso-next-textbox:#_x0000_s2410">
              <w:txbxContent>
                <w:p w:rsidR="0058723E" w:rsidRDefault="0058723E" w:rsidP="00E07C0F">
                  <w:pPr>
                    <w:rPr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Пиво</w:t>
                  </w:r>
                </w:p>
              </w:txbxContent>
            </v:textbox>
          </v:shape>
        </w:pict>
      </w:r>
      <w:r w:rsidRPr="00B06752">
        <w:pict>
          <v:shape id="_x0000_s2409" type="#_x0000_t202" style="position:absolute;left:0;text-align:left;margin-left:284.85pt;margin-top:115pt;width:65pt;height:18.55pt;z-index:251820032" filled="f" stroked="f">
            <v:textbox style="mso-next-textbox:#_x0000_s2409">
              <w:txbxContent>
                <w:p w:rsidR="0058723E" w:rsidRDefault="0058723E" w:rsidP="00E07C0F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Говядина</w:t>
                  </w:r>
                </w:p>
                <w:p w:rsidR="0058723E" w:rsidRDefault="0058723E" w:rsidP="00E07C0F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Pr="00B06752">
        <w:pict>
          <v:shape id="_x0000_s2412" type="#_x0000_t202" style="position:absolute;left:0;text-align:left;margin-left:248.6pt;margin-top:136.05pt;width:148.9pt;height:19.55pt;z-index:251823104" filled="f" stroked="f">
            <v:textbox style="mso-next-textbox:#_x0000_s2412">
              <w:txbxContent>
                <w:p w:rsidR="0058723E" w:rsidRDefault="0058723E" w:rsidP="00E07C0F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Макаронные изделия</w:t>
                  </w:r>
                </w:p>
              </w:txbxContent>
            </v:textbox>
          </v:shape>
        </w:pict>
      </w:r>
      <w:r w:rsidRPr="00B06752">
        <w:pict>
          <v:shape id="_x0000_s2413" type="#_x0000_t202" style="position:absolute;left:0;text-align:left;margin-left:217.85pt;margin-top:155.6pt;width:106.1pt;height:21pt;z-index:251824128" filled="f" stroked="f">
            <v:textbox style="mso-next-textbox:#_x0000_s2413">
              <w:txbxContent>
                <w:p w:rsidR="0058723E" w:rsidRDefault="0058723E" w:rsidP="00E07C0F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Вина виноградные</w:t>
                  </w:r>
                </w:p>
              </w:txbxContent>
            </v:textbox>
          </v:shape>
        </w:pict>
      </w:r>
      <w:r w:rsidRPr="00B06752">
        <w:pict>
          <v:shape id="_x0000_s2404" type="#_x0000_t202" style="position:absolute;left:0;text-align:left;margin-left:311.35pt;margin-top:21.95pt;width:106.2pt;height:11.9pt;z-index:251814912" filled="f" stroked="f">
            <v:textbox style="mso-next-textbox:#_x0000_s2404" inset=",0,,0">
              <w:txbxContent>
                <w:p w:rsidR="0058723E" w:rsidRDefault="0058723E" w:rsidP="00E07C0F">
                  <w:pPr>
                    <w:rPr>
                      <w:sz w:val="22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Свинина</w:t>
                  </w:r>
                </w:p>
              </w:txbxContent>
            </v:textbox>
          </v:shape>
        </w:pict>
      </w:r>
      <w:r w:rsidRPr="00B06752">
        <w:pict>
          <v:shape id="_x0000_s2406" type="#_x0000_t202" style="position:absolute;left:0;text-align:left;margin-left:302.65pt;margin-top:33.85pt;width:151.25pt;height:27.9pt;z-index:251816960" filled="f" stroked="f">
            <v:textbox style="mso-next-textbox:#_x0000_s2406">
              <w:txbxContent>
                <w:p w:rsidR="0058723E" w:rsidRDefault="0058723E" w:rsidP="00E07C0F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 xml:space="preserve">Хлеб и мучные кондитерские </w:t>
                  </w:r>
                  <w:r>
                    <w:rPr>
                      <w:rFonts w:ascii="Arial" w:hAnsi="Arial" w:cs="Arial"/>
                      <w:sz w:val="18"/>
                      <w:szCs w:val="16"/>
                    </w:rPr>
                    <w:br/>
                    <w:t>изделия</w:t>
                  </w:r>
                </w:p>
              </w:txbxContent>
            </v:textbox>
          </v:shape>
        </w:pict>
      </w:r>
      <w:r w:rsidRPr="00B06752">
        <w:pict>
          <v:shape id="_x0000_s2405" type="#_x0000_t202" style="position:absolute;left:0;text-align:left;margin-left:296.75pt;margin-top:57.95pt;width:124.2pt;height:20.05pt;z-index:251815936" filled="f" stroked="f">
            <v:textbox style="mso-next-textbox:#_x0000_s2405">
              <w:txbxContent>
                <w:p w:rsidR="0058723E" w:rsidRDefault="0058723E" w:rsidP="00E07C0F">
                  <w:pPr>
                    <w:rPr>
                      <w:rFonts w:ascii="поле 28" w:hAnsi="поле 28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Воды минеральные</w:t>
                  </w:r>
                </w:p>
              </w:txbxContent>
            </v:textbox>
          </v:shape>
        </w:pict>
      </w:r>
      <w:r w:rsidRPr="00B06752">
        <w:pict>
          <v:shape id="_x0000_s2407" type="#_x0000_t202" style="position:absolute;left:0;text-align:left;margin-left:292.95pt;margin-top:78pt;width:129pt;height:16.9pt;z-index:251817984" filled="f" stroked="f">
            <v:textbox style="mso-next-textbox:#_x0000_s2407">
              <w:txbxContent>
                <w:p w:rsidR="0058723E" w:rsidRDefault="0058723E" w:rsidP="00E07C0F">
                  <w:pPr>
                    <w:rPr>
                      <w:rFonts w:ascii="Arial" w:hAnsi="Arial" w:cs="Arial"/>
                      <w:sz w:val="18"/>
                      <w:szCs w:val="16"/>
                    </w:rPr>
                  </w:pPr>
                  <w:r>
                    <w:rPr>
                      <w:rFonts w:ascii="Arial" w:hAnsi="Arial" w:cs="Arial"/>
                      <w:sz w:val="18"/>
                      <w:szCs w:val="16"/>
                    </w:rPr>
                    <w:t>Безалкогольные напитки</w:t>
                  </w:r>
                </w:p>
              </w:txbxContent>
            </v:textbox>
          </v:shape>
        </w:pict>
      </w:r>
      <w:r w:rsidR="00E07C0F">
        <w:rPr>
          <w:i/>
          <w:noProof/>
        </w:rPr>
        <w:drawing>
          <wp:inline distT="0" distB="0" distL="0" distR="0">
            <wp:extent cx="5764530" cy="3065145"/>
            <wp:effectExtent l="0" t="0" r="0" b="0"/>
            <wp:docPr id="3" name="Объект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07C0F" w:rsidRDefault="00E07C0F" w:rsidP="00E07C0F">
      <w:pPr>
        <w:pStyle w:val="a3"/>
        <w:tabs>
          <w:tab w:val="left" w:pos="708"/>
        </w:tabs>
        <w:spacing w:before="480" w:line="28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 xml:space="preserve">Структура ресурсов отдельных непродовольственных товаров </w:t>
      </w:r>
      <w:r>
        <w:rPr>
          <w:rFonts w:ascii="Arial" w:hAnsi="Arial" w:cs="Arial"/>
          <w:b/>
          <w:sz w:val="22"/>
          <w:szCs w:val="26"/>
        </w:rPr>
        <w:br/>
        <w:t>в 2018 году</w:t>
      </w:r>
    </w:p>
    <w:p w:rsidR="00E07C0F" w:rsidRDefault="00E07C0F" w:rsidP="00E07C0F">
      <w:pPr>
        <w:spacing w:before="40"/>
        <w:jc w:val="center"/>
        <w:rPr>
          <w:rFonts w:ascii="Arial" w:hAnsi="Arial" w:cs="Arial"/>
          <w:bCs/>
          <w:i/>
          <w:iCs/>
        </w:rPr>
      </w:pPr>
      <w:r>
        <w:rPr>
          <w:rFonts w:ascii="Arial" w:hAnsi="Arial" w:cs="Arial"/>
          <w:bCs/>
          <w:i/>
          <w:iCs/>
        </w:rPr>
        <w:t>(</w:t>
      </w:r>
      <w:proofErr w:type="gramStart"/>
      <w:r>
        <w:rPr>
          <w:rFonts w:ascii="Arial" w:hAnsi="Arial" w:cs="Arial"/>
          <w:bCs/>
          <w:i/>
          <w:iCs/>
        </w:rPr>
        <w:t>в</w:t>
      </w:r>
      <w:proofErr w:type="gramEnd"/>
      <w:r>
        <w:rPr>
          <w:rFonts w:ascii="Arial" w:hAnsi="Arial" w:cs="Arial"/>
          <w:bCs/>
          <w:i/>
          <w:iCs/>
        </w:rPr>
        <w:t xml:space="preserve"> % к общему объему)</w:t>
      </w:r>
    </w:p>
    <w:p w:rsidR="00E07C0F" w:rsidRDefault="00E07C0F" w:rsidP="00E07C0F">
      <w:pPr>
        <w:pStyle w:val="a3"/>
        <w:tabs>
          <w:tab w:val="left" w:pos="708"/>
        </w:tabs>
        <w:spacing w:before="120" w:after="120"/>
        <w:jc w:val="center"/>
        <w:rPr>
          <w:rFonts w:ascii="Arial" w:hAnsi="Arial" w:cs="Arial"/>
          <w:b/>
          <w:sz w:val="2"/>
          <w:szCs w:val="2"/>
        </w:rPr>
      </w:pPr>
      <w:r>
        <w:rPr>
          <w:noProof/>
        </w:rPr>
        <w:drawing>
          <wp:inline distT="0" distB="0" distL="0" distR="0">
            <wp:extent cx="5764530" cy="3269615"/>
            <wp:effectExtent l="19050" t="0" r="7620" b="0"/>
            <wp:docPr id="2" name="Объект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07C0F" w:rsidRDefault="00E07C0F" w:rsidP="00E07C0F">
      <w:pPr>
        <w:pStyle w:val="a8"/>
        <w:spacing w:before="60" w:line="400" w:lineRule="exact"/>
        <w:ind w:firstLine="0"/>
        <w:jc w:val="center"/>
        <w:rPr>
          <w:rFonts w:ascii="Arial" w:hAnsi="Arial" w:cs="Arial"/>
          <w:b/>
        </w:rPr>
      </w:pPr>
    </w:p>
    <w:p w:rsidR="00AE6758" w:rsidRDefault="004B69B5" w:rsidP="0045398F">
      <w:pPr>
        <w:pStyle w:val="a8"/>
        <w:spacing w:before="60" w:after="120" w:line="40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3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BF3467">
      <w:pPr>
        <w:pStyle w:val="a8"/>
        <w:spacing w:before="0" w:line="32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A1179D">
        <w:rPr>
          <w:spacing w:val="-6"/>
          <w:szCs w:val="26"/>
        </w:rPr>
        <w:t>январе</w:t>
      </w:r>
      <w:r w:rsidR="00D93352" w:rsidRPr="00D93352">
        <w:rPr>
          <w:spacing w:val="-6"/>
          <w:szCs w:val="26"/>
        </w:rPr>
        <w:t xml:space="preserve"> </w:t>
      </w:r>
      <w:r w:rsidRPr="00346693">
        <w:rPr>
          <w:spacing w:val="-6"/>
          <w:szCs w:val="26"/>
        </w:rPr>
        <w:t>201</w:t>
      </w:r>
      <w:r w:rsidR="00CE583B">
        <w:rPr>
          <w:spacing w:val="-6"/>
          <w:szCs w:val="26"/>
        </w:rPr>
        <w:t>9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A966F8">
        <w:rPr>
          <w:spacing w:val="-6"/>
          <w:szCs w:val="26"/>
        </w:rPr>
        <w:t>3</w:t>
      </w:r>
      <w:r w:rsidR="00D94586">
        <w:rPr>
          <w:spacing w:val="-6"/>
          <w:szCs w:val="26"/>
        </w:rPr>
        <w:t>,</w:t>
      </w:r>
      <w:r w:rsidR="00CC346E">
        <w:rPr>
          <w:spacing w:val="-6"/>
          <w:szCs w:val="26"/>
        </w:rPr>
        <w:t>5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 xml:space="preserve">ублей, </w:t>
      </w:r>
      <w:r w:rsidR="00BF3467">
        <w:rPr>
          <w:szCs w:val="26"/>
        </w:rPr>
        <w:br/>
      </w:r>
      <w:r w:rsidRPr="00346693">
        <w:rPr>
          <w:szCs w:val="26"/>
        </w:rPr>
        <w:t>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4C2DF6" w:rsidRPr="004C2DF6">
        <w:rPr>
          <w:szCs w:val="26"/>
        </w:rPr>
        <w:t>10</w:t>
      </w:r>
      <w:r w:rsidR="00CC346E">
        <w:rPr>
          <w:szCs w:val="26"/>
        </w:rPr>
        <w:t>4</w:t>
      </w:r>
      <w:r w:rsidR="00EB4BF6">
        <w:rPr>
          <w:szCs w:val="26"/>
        </w:rPr>
        <w:t>,</w:t>
      </w:r>
      <w:r w:rsidR="00CC346E">
        <w:rPr>
          <w:szCs w:val="26"/>
        </w:rPr>
        <w:t>2</w:t>
      </w:r>
      <w:r w:rsidRPr="00346693">
        <w:rPr>
          <w:szCs w:val="26"/>
        </w:rPr>
        <w:t xml:space="preserve">% к уровню </w:t>
      </w:r>
      <w:r w:rsidR="00A1179D">
        <w:rPr>
          <w:szCs w:val="26"/>
        </w:rPr>
        <w:t xml:space="preserve">января </w:t>
      </w:r>
      <w:r w:rsidRPr="00346693">
        <w:rPr>
          <w:szCs w:val="26"/>
        </w:rPr>
        <w:t>201</w:t>
      </w:r>
      <w:r w:rsidR="00CE583B">
        <w:rPr>
          <w:szCs w:val="26"/>
        </w:rPr>
        <w:t>8</w:t>
      </w:r>
      <w:r w:rsidRPr="00346693">
        <w:rPr>
          <w:szCs w:val="26"/>
        </w:rPr>
        <w:t xml:space="preserve"> г.</w:t>
      </w:r>
    </w:p>
    <w:p w:rsidR="00797EAB" w:rsidRDefault="00797EAB" w:rsidP="00640B00">
      <w:pPr>
        <w:pStyle w:val="a8"/>
        <w:spacing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 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/>
      </w:tblPr>
      <w:tblGrid>
        <w:gridCol w:w="1853"/>
        <w:gridCol w:w="1668"/>
        <w:gridCol w:w="1559"/>
        <w:gridCol w:w="1451"/>
        <w:gridCol w:w="1242"/>
        <w:gridCol w:w="1318"/>
      </w:tblGrid>
      <w:tr w:rsidR="00797EAB" w:rsidTr="00C2174F">
        <w:trPr>
          <w:trHeight w:val="6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797EAB" w:rsidTr="00797EAB">
        <w:trPr>
          <w:trHeight w:val="1075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7EAB" w:rsidRDefault="00797EAB" w:rsidP="00C2174F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соответствую-щему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7EAB" w:rsidRDefault="00797EAB" w:rsidP="00C2174F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4561A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4561AC" w:rsidRDefault="004561AC" w:rsidP="00CE583B">
            <w:pPr>
              <w:spacing w:before="50" w:after="50" w:line="200" w:lineRule="exact"/>
              <w:ind w:left="737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201</w:t>
            </w:r>
            <w:r w:rsidR="00CE583B">
              <w:rPr>
                <w:b/>
                <w:sz w:val="22"/>
              </w:rPr>
              <w:t>8</w:t>
            </w:r>
            <w:r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765A">
            <w:pPr>
              <w:spacing w:before="50" w:after="5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765A">
            <w:pPr>
              <w:spacing w:before="50" w:after="50" w:line="200" w:lineRule="exact"/>
              <w:ind w:right="463"/>
              <w:jc w:val="right"/>
              <w:rPr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765A">
            <w:pPr>
              <w:spacing w:before="50" w:after="5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765A">
            <w:pPr>
              <w:tabs>
                <w:tab w:val="left" w:pos="1096"/>
              </w:tabs>
              <w:spacing w:before="50" w:after="50" w:line="200" w:lineRule="exact"/>
              <w:ind w:right="217"/>
              <w:jc w:val="right"/>
              <w:rPr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61AC" w:rsidRDefault="004561AC" w:rsidP="00BF765A">
            <w:pPr>
              <w:spacing w:before="50" w:after="50" w:line="200" w:lineRule="exact"/>
              <w:ind w:right="510"/>
              <w:jc w:val="right"/>
              <w:rPr>
                <w:sz w:val="22"/>
              </w:rPr>
            </w:pP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F392C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  <w:i/>
              </w:rPr>
            </w:pPr>
            <w:r w:rsidRPr="005F392C">
              <w:rPr>
                <w:rFonts w:eastAsiaTheme="minorEastAsia"/>
                <w:b w:val="0"/>
                <w:i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F392C" w:rsidRDefault="005F392C" w:rsidP="005F392C">
            <w:pPr>
              <w:spacing w:before="30" w:after="30" w:line="260" w:lineRule="exact"/>
              <w:ind w:right="397"/>
              <w:jc w:val="right"/>
              <w:rPr>
                <w:i/>
                <w:sz w:val="22"/>
              </w:rPr>
            </w:pPr>
            <w:r w:rsidRPr="005F392C">
              <w:rPr>
                <w:i/>
                <w:sz w:val="22"/>
              </w:rPr>
              <w:t>3 149,1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F392C" w:rsidRDefault="005F392C" w:rsidP="005F392C">
            <w:pPr>
              <w:spacing w:before="30" w:after="30" w:line="260" w:lineRule="exact"/>
              <w:ind w:right="463"/>
              <w:jc w:val="right"/>
              <w:rPr>
                <w:i/>
                <w:sz w:val="22"/>
              </w:rPr>
            </w:pPr>
            <w:r w:rsidRPr="005F392C">
              <w:rPr>
                <w:i/>
                <w:sz w:val="22"/>
              </w:rPr>
              <w:t>109,5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F392C" w:rsidRDefault="005F392C" w:rsidP="005F392C">
            <w:pPr>
              <w:spacing w:before="30" w:after="30" w:line="260" w:lineRule="exact"/>
              <w:ind w:right="340"/>
              <w:jc w:val="right"/>
              <w:rPr>
                <w:i/>
                <w:sz w:val="22"/>
              </w:rPr>
            </w:pPr>
            <w:r w:rsidRPr="005F392C">
              <w:rPr>
                <w:i/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F392C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i/>
                <w:sz w:val="22"/>
              </w:rPr>
            </w:pPr>
            <w:r w:rsidRPr="005F392C">
              <w:rPr>
                <w:i/>
                <w:sz w:val="22"/>
              </w:rPr>
              <w:t>4 805,2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F392C" w:rsidRDefault="005F392C" w:rsidP="005F392C">
            <w:pPr>
              <w:spacing w:before="30" w:after="30" w:line="260" w:lineRule="exact"/>
              <w:ind w:right="510"/>
              <w:jc w:val="right"/>
              <w:rPr>
                <w:i/>
                <w:sz w:val="22"/>
              </w:rPr>
            </w:pPr>
            <w:r w:rsidRPr="005F392C">
              <w:rPr>
                <w:i/>
                <w:sz w:val="22"/>
              </w:rPr>
              <w:t>54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613C80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 w:rsidRPr="00C323E9">
              <w:rPr>
                <w:sz w:val="22"/>
              </w:rPr>
              <w:t>3 111,5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spacing w:before="30" w:after="30" w:line="260" w:lineRule="exact"/>
              <w:ind w:right="463"/>
              <w:jc w:val="right"/>
              <w:rPr>
                <w:sz w:val="22"/>
              </w:rPr>
            </w:pPr>
            <w:r w:rsidRPr="00C323E9">
              <w:rPr>
                <w:sz w:val="22"/>
              </w:rPr>
              <w:t>110,0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 w:rsidRPr="00C323E9">
              <w:rPr>
                <w:sz w:val="22"/>
              </w:rPr>
              <w:t>98,5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4 871,8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018DE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3 584,0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spacing w:before="30" w:after="30" w:line="26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109,5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114,3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5 040,0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323E9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F392C">
            <w:pPr>
              <w:pStyle w:val="4"/>
              <w:keepNext w:val="0"/>
              <w:spacing w:before="30" w:after="30" w:line="260" w:lineRule="exact"/>
              <w:ind w:left="261" w:right="-102" w:hanging="204"/>
              <w:rPr>
                <w:rFonts w:eastAsiaTheme="minorEastAsia"/>
              </w:rPr>
            </w:pPr>
            <w:r w:rsidRPr="00292C47">
              <w:rPr>
                <w:rFonts w:eastAsiaTheme="minorEastAsia"/>
              </w:rP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F392C">
            <w:pPr>
              <w:spacing w:before="30" w:after="30" w:line="260" w:lineRule="exact"/>
              <w:ind w:right="397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9 844,6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F392C">
            <w:pPr>
              <w:spacing w:before="30" w:after="30" w:line="260" w:lineRule="exact"/>
              <w:ind w:right="463"/>
              <w:jc w:val="right"/>
              <w:rPr>
                <w:b/>
                <w:sz w:val="22"/>
              </w:rPr>
            </w:pPr>
            <w:r w:rsidRPr="00292C47">
              <w:rPr>
                <w:b/>
                <w:sz w:val="22"/>
              </w:rPr>
              <w:t>109,7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F392C">
            <w:pPr>
              <w:spacing w:before="30" w:after="30" w:line="260" w:lineRule="exact"/>
              <w:ind w:right="340"/>
              <w:jc w:val="right"/>
              <w:rPr>
                <w:b/>
                <w:sz w:val="22"/>
                <w:lang w:val="en-US"/>
              </w:rPr>
            </w:pPr>
            <w:r w:rsidRPr="00292C47">
              <w:rPr>
                <w:b/>
                <w:sz w:val="22"/>
                <w:lang w:val="en-US"/>
              </w:rPr>
              <w:t>91</w:t>
            </w:r>
            <w:r w:rsidRPr="00292C47">
              <w:rPr>
                <w:b/>
                <w:sz w:val="22"/>
              </w:rPr>
              <w:t>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292C47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92C47" w:rsidRDefault="005F392C" w:rsidP="005F392C">
            <w:pPr>
              <w:spacing w:before="30" w:after="30" w:line="26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292C47"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3 580,7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392C">
            <w:pPr>
              <w:spacing w:before="30" w:after="30" w:line="260" w:lineRule="exact"/>
              <w:ind w:right="463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5 115,3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67AEE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 w:rsidRPr="00B67AEE">
              <w:rPr>
                <w:sz w:val="22"/>
              </w:rPr>
              <w:t>3 781,4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A826A5" w:rsidRDefault="005F392C" w:rsidP="005F392C">
            <w:pPr>
              <w:spacing w:before="30" w:after="30" w:line="260" w:lineRule="exact"/>
              <w:ind w:right="340"/>
              <w:jc w:val="right"/>
              <w:rPr>
                <w:bCs/>
                <w:sz w:val="22"/>
              </w:rPr>
            </w:pPr>
            <w:r w:rsidRPr="00B67AEE">
              <w:rPr>
                <w:sz w:val="22"/>
              </w:rPr>
              <w:t>106</w:t>
            </w:r>
            <w:r>
              <w:rPr>
                <w:bCs/>
                <w:sz w:val="22"/>
              </w:rPr>
              <w:t>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87213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595EA2"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 w:rsidRPr="00DC539F">
              <w:rPr>
                <w:sz w:val="22"/>
              </w:rPr>
              <w:t>3 783,3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sz w:val="22"/>
              </w:rPr>
            </w:pPr>
            <w:r w:rsidRPr="00DC539F">
              <w:rPr>
                <w:bCs/>
                <w:sz w:val="22"/>
              </w:rPr>
              <w:t>109,0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 w:rsidRPr="00DC539F">
              <w:rPr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5 177,7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595EA2" w:rsidRDefault="005F392C" w:rsidP="005F392C">
            <w:pPr>
              <w:pStyle w:val="4"/>
              <w:keepNext w:val="0"/>
              <w:spacing w:before="30" w:after="30" w:line="26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proofErr w:type="spellStart"/>
            <w:r>
              <w:rPr>
                <w:rFonts w:eastAsiaTheme="minorEastAsia"/>
                <w:lang w:val="en-US"/>
              </w:rPr>
              <w:t>I</w:t>
            </w:r>
            <w:proofErr w:type="spellEnd"/>
            <w:r>
              <w:rPr>
                <w:rFonts w:eastAsiaTheme="minorEastAsia"/>
              </w:rP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5F392C">
            <w:pPr>
              <w:spacing w:before="30" w:after="30" w:line="260" w:lineRule="exact"/>
              <w:ind w:right="397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11 145,4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5F392C">
            <w:pPr>
              <w:spacing w:before="30" w:after="30" w:line="260" w:lineRule="exact"/>
              <w:ind w:right="463"/>
              <w:jc w:val="right"/>
              <w:rPr>
                <w:b/>
                <w:bCs/>
                <w:sz w:val="22"/>
              </w:rPr>
            </w:pPr>
            <w:r w:rsidRPr="00DC539F">
              <w:rPr>
                <w:b/>
                <w:bCs/>
                <w:sz w:val="22"/>
              </w:rPr>
              <w:t>110,1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DC539F" w:rsidRDefault="005F392C" w:rsidP="005F392C">
            <w:pPr>
              <w:spacing w:before="30" w:after="30" w:line="260" w:lineRule="exact"/>
              <w:ind w:right="340"/>
              <w:jc w:val="right"/>
              <w:rPr>
                <w:b/>
                <w:sz w:val="22"/>
              </w:rPr>
            </w:pPr>
            <w:r w:rsidRPr="00DC539F">
              <w:rPr>
                <w:b/>
                <w:sz w:val="22"/>
              </w:rPr>
              <w:t>112,5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F392C">
            <w:pPr>
              <w:pStyle w:val="4"/>
              <w:keepNext w:val="0"/>
              <w:spacing w:before="30" w:after="30" w:line="26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642D4">
              <w:rPr>
                <w:rFonts w:eastAsiaTheme="minorEastAsia"/>
                <w:b w:val="0"/>
                <w:i/>
              </w:rPr>
              <w:t>I 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F392C">
            <w:pPr>
              <w:spacing w:before="30" w:after="30" w:line="260" w:lineRule="exact"/>
              <w:ind w:right="397"/>
              <w:jc w:val="right"/>
              <w:rPr>
                <w:i/>
                <w:sz w:val="22"/>
              </w:rPr>
            </w:pPr>
            <w:r w:rsidRPr="008642D4">
              <w:rPr>
                <w:i/>
                <w:sz w:val="22"/>
              </w:rPr>
              <w:t>20 990,0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i/>
                <w:sz w:val="22"/>
              </w:rPr>
            </w:pPr>
            <w:r w:rsidRPr="008642D4">
              <w:rPr>
                <w:bCs/>
                <w:i/>
                <w:sz w:val="22"/>
              </w:rPr>
              <w:t>109,9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F392C">
            <w:pPr>
              <w:spacing w:before="30" w:after="30" w:line="26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8642D4" w:rsidRDefault="005F392C" w:rsidP="005F392C">
            <w:pPr>
              <w:spacing w:before="30" w:after="30" w:line="26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8642D4">
              <w:rPr>
                <w:i/>
                <w:sz w:val="22"/>
              </w:rPr>
              <w:t>х</w:t>
            </w:r>
            <w:proofErr w:type="spellEnd"/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 w:rsidRPr="00255FB0">
              <w:rPr>
                <w:sz w:val="22"/>
              </w:rPr>
              <w:t>3 819,5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sz w:val="22"/>
              </w:rPr>
            </w:pPr>
            <w:r w:rsidRPr="00255FB0"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 w:rsidRPr="00255FB0">
              <w:rPr>
                <w:sz w:val="22"/>
              </w:rPr>
              <w:t>101,2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5 195,2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55FB0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E5552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2E5552"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4 025,3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sz w:val="22"/>
              </w:rPr>
            </w:pPr>
            <w:r w:rsidRPr="00093EA4">
              <w:rPr>
                <w:bCs/>
                <w:sz w:val="22"/>
              </w:rPr>
              <w:t>108,7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 w:rsidRPr="00093EA4">
              <w:rPr>
                <w:sz w:val="22"/>
              </w:rPr>
              <w:t>105,2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 w:rsidRPr="00093EA4">
              <w:rPr>
                <w:sz w:val="22"/>
              </w:rPr>
              <w:t>5 331,1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56DF9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 w:rsidRPr="00C56DF9">
              <w:rPr>
                <w:sz w:val="22"/>
              </w:rPr>
              <w:t>47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2E5552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3 745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106,2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093EA4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5 324,2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56DF9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pStyle w:val="4"/>
              <w:keepNext w:val="0"/>
              <w:spacing w:before="30" w:after="30" w:line="26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III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5F392C">
            <w:pPr>
              <w:spacing w:before="30" w:after="30" w:line="260" w:lineRule="exact"/>
              <w:ind w:right="397"/>
              <w:jc w:val="right"/>
              <w:rPr>
                <w:b/>
                <w:sz w:val="22"/>
              </w:rPr>
            </w:pPr>
            <w:r w:rsidRPr="00BA5624">
              <w:rPr>
                <w:b/>
                <w:sz w:val="22"/>
              </w:rPr>
              <w:t>11 589,8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5F392C">
            <w:pPr>
              <w:spacing w:before="30" w:after="30" w:line="260" w:lineRule="exact"/>
              <w:ind w:right="463"/>
              <w:jc w:val="right"/>
              <w:rPr>
                <w:b/>
                <w:bCs/>
                <w:sz w:val="22"/>
              </w:rPr>
            </w:pPr>
            <w:r w:rsidRPr="00BA5624">
              <w:rPr>
                <w:b/>
                <w:bCs/>
                <w:sz w:val="22"/>
              </w:rPr>
              <w:t>107,5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A5624" w:rsidRDefault="005F392C" w:rsidP="005F392C">
            <w:pPr>
              <w:spacing w:before="30" w:after="30" w:line="260" w:lineRule="exact"/>
              <w:ind w:right="340"/>
              <w:jc w:val="right"/>
              <w:rPr>
                <w:b/>
                <w:sz w:val="22"/>
              </w:rPr>
            </w:pPr>
            <w:r w:rsidRPr="00BA5624">
              <w:rPr>
                <w:b/>
                <w:sz w:val="22"/>
              </w:rPr>
              <w:t>103,8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pStyle w:val="4"/>
              <w:keepNext w:val="0"/>
              <w:spacing w:before="30" w:after="30" w:line="26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986A17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spacing w:before="30" w:after="30" w:line="260" w:lineRule="exact"/>
              <w:ind w:right="397"/>
              <w:jc w:val="right"/>
              <w:rPr>
                <w:i/>
                <w:sz w:val="22"/>
              </w:rPr>
            </w:pPr>
            <w:r w:rsidRPr="00986A17">
              <w:rPr>
                <w:i/>
                <w:sz w:val="22"/>
              </w:rPr>
              <w:t>32 579,8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i/>
                <w:sz w:val="22"/>
              </w:rPr>
            </w:pPr>
            <w:r w:rsidRPr="00986A17">
              <w:rPr>
                <w:bCs/>
                <w:i/>
                <w:sz w:val="22"/>
              </w:rPr>
              <w:t>109,1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spacing w:before="30" w:after="30" w:line="260" w:lineRule="exact"/>
              <w:ind w:right="340"/>
              <w:jc w:val="right"/>
              <w:rPr>
                <w:i/>
                <w:sz w:val="22"/>
              </w:rPr>
            </w:pPr>
            <w:proofErr w:type="spellStart"/>
            <w:r w:rsidRPr="00986A17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i/>
                <w:sz w:val="22"/>
              </w:rPr>
            </w:pPr>
            <w:proofErr w:type="spellStart"/>
            <w:r w:rsidRPr="00986A17"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spacing w:before="30" w:after="30" w:line="26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986A17">
              <w:rPr>
                <w:i/>
                <w:sz w:val="22"/>
              </w:rPr>
              <w:t>х</w:t>
            </w:r>
            <w:proofErr w:type="spellEnd"/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3 894,7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986A17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5 533,7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986A17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C4084E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3 813,5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107,7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5 782,3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pStyle w:val="4"/>
              <w:keepNext w:val="0"/>
              <w:spacing w:before="30" w:after="30" w:line="26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4 386,9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right="463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0559D9" w:rsidRDefault="005F392C" w:rsidP="005F392C">
            <w:pPr>
              <w:spacing w:before="30" w:after="30" w:line="26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  <w:lang w:val="en-US"/>
              </w:rPr>
              <w:t>114</w:t>
            </w:r>
            <w:r>
              <w:rPr>
                <w:sz w:val="22"/>
              </w:rPr>
              <w:t>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sz w:val="22"/>
              </w:rPr>
            </w:pPr>
            <w:r>
              <w:rPr>
                <w:sz w:val="22"/>
              </w:rPr>
              <w:t>5 810,8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5F392C" w:rsidTr="00A966F8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Default="005F392C" w:rsidP="005F392C">
            <w:pPr>
              <w:spacing w:before="30" w:after="30" w:line="26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96940" w:rsidRDefault="005F392C" w:rsidP="005F392C">
            <w:pPr>
              <w:spacing w:before="30" w:after="30" w:line="260" w:lineRule="exact"/>
              <w:ind w:right="397"/>
              <w:jc w:val="right"/>
              <w:rPr>
                <w:b/>
                <w:sz w:val="22"/>
              </w:rPr>
            </w:pPr>
            <w:r w:rsidRPr="00B96940">
              <w:rPr>
                <w:b/>
                <w:sz w:val="22"/>
              </w:rPr>
              <w:t>12 095,1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96940" w:rsidRDefault="005F392C" w:rsidP="005F392C">
            <w:pPr>
              <w:spacing w:before="30" w:after="30" w:line="260" w:lineRule="exact"/>
              <w:ind w:right="463"/>
              <w:jc w:val="right"/>
              <w:rPr>
                <w:b/>
                <w:bCs/>
                <w:sz w:val="22"/>
              </w:rPr>
            </w:pPr>
            <w:r w:rsidRPr="00B96940">
              <w:rPr>
                <w:b/>
                <w:bCs/>
                <w:sz w:val="22"/>
              </w:rPr>
              <w:t>106,6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392C" w:rsidRPr="00B96940" w:rsidRDefault="005F392C" w:rsidP="005F392C">
            <w:pPr>
              <w:spacing w:before="30" w:after="30" w:line="260" w:lineRule="exact"/>
              <w:ind w:right="340"/>
              <w:jc w:val="right"/>
              <w:rPr>
                <w:b/>
                <w:sz w:val="22"/>
              </w:rPr>
            </w:pPr>
            <w:r w:rsidRPr="00B96940">
              <w:rPr>
                <w:b/>
                <w:sz w:val="22"/>
              </w:rPr>
              <w:t>10</w:t>
            </w:r>
            <w:r>
              <w:rPr>
                <w:b/>
                <w:sz w:val="22"/>
              </w:rPr>
              <w:t>2</w:t>
            </w:r>
            <w:r w:rsidRPr="00B96940">
              <w:rPr>
                <w:b/>
                <w:sz w:val="22"/>
              </w:rPr>
              <w:t>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C3111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1C3111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1C3111" w:rsidRDefault="005F392C" w:rsidP="005F392C">
            <w:pPr>
              <w:spacing w:before="30" w:after="30" w:line="26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1C3111"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2004FC" w:rsidP="005F392C">
            <w:pPr>
              <w:pStyle w:val="4"/>
              <w:keepNext w:val="0"/>
              <w:spacing w:before="30" w:after="30" w:line="260" w:lineRule="exact"/>
              <w:ind w:left="261" w:right="-102" w:hanging="204"/>
              <w:rPr>
                <w:rFonts w:eastAsiaTheme="minorEastAsia"/>
              </w:rPr>
            </w:pPr>
            <w:r w:rsidRPr="0045398F">
              <w:rPr>
                <w:rFonts w:eastAsiaTheme="minorEastAsia"/>
              </w:rPr>
              <w:t>Январь-</w:t>
            </w:r>
            <w:r w:rsidR="005F392C" w:rsidRPr="0045398F">
              <w:rPr>
                <w:rFonts w:eastAsiaTheme="minorEastAsia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5F392C">
            <w:pPr>
              <w:spacing w:before="30" w:after="30" w:line="260" w:lineRule="exact"/>
              <w:ind w:right="39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44 674,9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5F392C">
            <w:pPr>
              <w:spacing w:before="30" w:after="30" w:line="260" w:lineRule="exact"/>
              <w:ind w:right="463"/>
              <w:jc w:val="right"/>
              <w:rPr>
                <w:b/>
                <w:bCs/>
                <w:sz w:val="22"/>
              </w:rPr>
            </w:pPr>
            <w:r w:rsidRPr="0045398F">
              <w:rPr>
                <w:b/>
                <w:bCs/>
                <w:sz w:val="22"/>
              </w:rPr>
              <w:t>108,4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5F392C">
            <w:pPr>
              <w:spacing w:before="30" w:after="30" w:line="260" w:lineRule="exact"/>
              <w:ind w:right="340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5F392C">
            <w:pPr>
              <w:tabs>
                <w:tab w:val="left" w:pos="1096"/>
              </w:tabs>
              <w:spacing w:before="30" w:after="30" w:line="260" w:lineRule="exact"/>
              <w:ind w:right="217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45398F" w:rsidRDefault="005F392C" w:rsidP="005F392C">
            <w:pPr>
              <w:spacing w:before="30" w:after="30" w:line="26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</w:tr>
      <w:tr w:rsidR="005F392C" w:rsidRPr="00D93352" w:rsidTr="00A1179D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CE583B">
            <w:pPr>
              <w:pStyle w:val="4"/>
              <w:keepNext w:val="0"/>
              <w:spacing w:before="50" w:after="50" w:line="200" w:lineRule="exact"/>
              <w:ind w:left="261" w:right="-102" w:hanging="204"/>
              <w:jc w:val="center"/>
              <w:rPr>
                <w:rFonts w:eastAsiaTheme="minorEastAsia"/>
                <w:i/>
              </w:rPr>
            </w:pPr>
            <w:r>
              <w:t>2019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BF765A">
            <w:pPr>
              <w:spacing w:before="50" w:after="50" w:line="20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BF765A">
            <w:pPr>
              <w:spacing w:before="50" w:after="50" w:line="20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BF765A">
            <w:pPr>
              <w:spacing w:before="50" w:after="50" w:line="20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BF765A">
            <w:pPr>
              <w:tabs>
                <w:tab w:val="left" w:pos="1096"/>
              </w:tabs>
              <w:spacing w:before="50" w:after="50" w:line="20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F392C" w:rsidRPr="00BF3467" w:rsidRDefault="005F392C" w:rsidP="00BF765A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5F392C" w:rsidRPr="00F8330B" w:rsidTr="00797EAB">
        <w:trPr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92C" w:rsidRPr="00F8330B" w:rsidRDefault="005F392C" w:rsidP="00BF765A">
            <w:pPr>
              <w:pStyle w:val="4"/>
              <w:keepNext w:val="0"/>
              <w:spacing w:before="50" w:after="50" w:line="200" w:lineRule="exact"/>
              <w:ind w:left="567" w:right="-102" w:hanging="204"/>
              <w:rPr>
                <w:rFonts w:eastAsiaTheme="minorEastAsia"/>
                <w:i/>
              </w:rPr>
            </w:pPr>
            <w:r w:rsidRPr="00F8330B">
              <w:rPr>
                <w:rFonts w:eastAsiaTheme="minorEastAsia"/>
                <w:i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92C" w:rsidRPr="005B4FE0" w:rsidRDefault="005B4FE0" w:rsidP="002004FC">
            <w:pPr>
              <w:spacing w:before="50" w:after="50" w:line="20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  <w:lang w:val="en-US"/>
              </w:rPr>
              <w:t>3</w:t>
            </w:r>
            <w:r>
              <w:rPr>
                <w:b/>
                <w:i/>
                <w:sz w:val="22"/>
              </w:rPr>
              <w:t> 523,2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92C" w:rsidRPr="00F8330B" w:rsidRDefault="005B4FE0" w:rsidP="002004FC">
            <w:pPr>
              <w:spacing w:before="50" w:after="50" w:line="200" w:lineRule="exact"/>
              <w:ind w:right="465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104,2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92C" w:rsidRPr="00F8330B" w:rsidRDefault="005B4FE0" w:rsidP="00BF765A">
            <w:pPr>
              <w:spacing w:before="50" w:after="50" w:line="200" w:lineRule="exact"/>
              <w:ind w:right="34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92C" w:rsidRPr="00F8330B" w:rsidRDefault="005B4FE0" w:rsidP="00BF765A">
            <w:pPr>
              <w:tabs>
                <w:tab w:val="left" w:pos="1096"/>
              </w:tabs>
              <w:spacing w:before="50" w:after="50" w:line="200" w:lineRule="exact"/>
              <w:ind w:right="21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5 650,0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F392C" w:rsidRPr="00E07C0F" w:rsidRDefault="005B4FE0" w:rsidP="00E07C0F">
            <w:pPr>
              <w:spacing w:before="50" w:after="50" w:line="200" w:lineRule="exact"/>
              <w:ind w:right="510"/>
              <w:jc w:val="right"/>
              <w:rPr>
                <w:b/>
                <w:i/>
                <w:sz w:val="22"/>
                <w:lang w:val="en-US"/>
              </w:rPr>
            </w:pPr>
            <w:r>
              <w:rPr>
                <w:b/>
                <w:i/>
                <w:sz w:val="22"/>
              </w:rPr>
              <w:t>5</w:t>
            </w:r>
            <w:proofErr w:type="spellStart"/>
            <w:r w:rsidR="00E07C0F">
              <w:rPr>
                <w:b/>
                <w:i/>
                <w:sz w:val="22"/>
                <w:lang w:val="en-US"/>
              </w:rPr>
              <w:t>5</w:t>
            </w:r>
            <w:proofErr w:type="spellEnd"/>
          </w:p>
        </w:tc>
      </w:tr>
    </w:tbl>
    <w:p w:rsidR="00031752" w:rsidRPr="00F0491C" w:rsidRDefault="00031752" w:rsidP="00BF765A">
      <w:pPr>
        <w:pStyle w:val="a3"/>
        <w:tabs>
          <w:tab w:val="left" w:pos="708"/>
        </w:tabs>
        <w:spacing w:before="240" w:after="4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031752" w:rsidRDefault="00031752" w:rsidP="00031752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F0491C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594D06" w:rsidRPr="00F0491C" w:rsidRDefault="00B06752" w:rsidP="00594D06">
      <w:pPr>
        <w:pStyle w:val="a3"/>
        <w:tabs>
          <w:tab w:val="left" w:pos="708"/>
        </w:tabs>
        <w:spacing w:before="40" w:after="40"/>
        <w:jc w:val="center"/>
        <w:rPr>
          <w:rFonts w:ascii="Arial" w:hAnsi="Arial" w:cs="Arial"/>
          <w:bCs/>
          <w:i/>
          <w:iCs/>
        </w:rPr>
      </w:pPr>
      <w:r w:rsidRPr="00B06752">
        <w:rPr>
          <w:noProof/>
        </w:rPr>
        <w:pict>
          <v:group id="_x0000_s2356" style="position:absolute;left:0;text-align:left;margin-left:238.7pt;margin-top:97.9pt;width:247.55pt;height:32.7pt;z-index:251791360" coordorigin="5145,5033" coordsize="5323,493">
            <v:rect id="_x0000_s2357" style="position:absolute;left:5145;top:5039;width:1345;height:487;flip:x" filled="f" stroked="f" strokecolor="white" strokeweight=".25pt">
              <v:textbox style="mso-next-textbox:#_x0000_s2357;mso-direction-alt:auto">
                <w:txbxContent>
                  <w:p w:rsidR="0058723E" w:rsidRPr="007906DB" w:rsidRDefault="0058723E" w:rsidP="00594D06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8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_x0000_s2358" style="position:absolute;left:9333;top:5033;width:1135;height:487;flip:x" filled="f" stroked="f" strokecolor="white" strokeweight=".25pt">
              <v:textbox style="mso-next-textbox:#_x0000_s2358;mso-direction-alt:auto">
                <w:txbxContent>
                  <w:p w:rsidR="0058723E" w:rsidRPr="00E04EBA" w:rsidRDefault="0058723E" w:rsidP="00594D06">
                    <w:pPr>
                      <w:autoSpaceDE w:val="0"/>
                      <w:autoSpaceDN w:val="0"/>
                      <w:adjustRightInd w:val="0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9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594D06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>
            <wp:extent cx="5961888" cy="1367942"/>
            <wp:effectExtent l="0" t="0" r="762" b="0"/>
            <wp:docPr id="5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031752" w:rsidRPr="003C04D5" w:rsidRDefault="00031752" w:rsidP="00031752">
      <w:pPr>
        <w:rPr>
          <w:sz w:val="2"/>
          <w:szCs w:val="2"/>
        </w:rPr>
      </w:pPr>
    </w:p>
    <w:p w:rsidR="00031752" w:rsidRDefault="00031752" w:rsidP="00BF765A">
      <w:pPr>
        <w:pStyle w:val="a3"/>
        <w:tabs>
          <w:tab w:val="left" w:pos="708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lastRenderedPageBreak/>
        <w:t>Розничный товарооборот</w:t>
      </w:r>
      <w:r>
        <w:rPr>
          <w:rFonts w:ascii="Arial" w:hAnsi="Arial" w:cs="Arial"/>
          <w:b/>
          <w:sz w:val="22"/>
          <w:szCs w:val="22"/>
        </w:rPr>
        <w:t xml:space="preserve"> и запасы товаров</w:t>
      </w:r>
      <w:r w:rsidR="002C6D01" w:rsidRPr="004D214D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по областям и 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54"/>
        <w:gridCol w:w="1247"/>
        <w:gridCol w:w="1204"/>
        <w:gridCol w:w="1254"/>
        <w:gridCol w:w="1234"/>
        <w:gridCol w:w="1229"/>
        <w:gridCol w:w="1227"/>
      </w:tblGrid>
      <w:tr w:rsidR="00031752" w:rsidTr="00A97332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0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203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BF765A">
            <w:pPr>
              <w:spacing w:before="40" w:after="4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BF765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BD050B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>201</w:t>
            </w:r>
            <w:r w:rsidR="00CE583B">
              <w:rPr>
                <w:sz w:val="22"/>
              </w:rPr>
              <w:t>9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35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45398F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BD050B">
              <w:rPr>
                <w:sz w:val="22"/>
              </w:rPr>
              <w:t>февраля</w:t>
            </w:r>
            <w:r w:rsidR="00031752">
              <w:rPr>
                <w:sz w:val="22"/>
              </w:rPr>
              <w:t xml:space="preserve"> 201</w:t>
            </w:r>
            <w:r w:rsidR="00CE583B">
              <w:rPr>
                <w:sz w:val="22"/>
              </w:rPr>
              <w:t>9</w:t>
            </w:r>
            <w:r w:rsidR="00031752">
              <w:rPr>
                <w:sz w:val="22"/>
              </w:rPr>
              <w:t xml:space="preserve"> г.,</w:t>
            </w:r>
            <w:r w:rsidR="00031752"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>. руб.</w:t>
            </w:r>
          </w:p>
        </w:tc>
        <w:tc>
          <w:tcPr>
            <w:tcW w:w="1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BF765A">
            <w:pPr>
              <w:spacing w:before="40" w:after="4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BD050B" w:rsidP="00F60A6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="00031752">
              <w:rPr>
                <w:sz w:val="22"/>
              </w:rPr>
              <w:t>201</w:t>
            </w:r>
            <w:r w:rsidR="00CE583B">
              <w:rPr>
                <w:sz w:val="22"/>
              </w:rPr>
              <w:t>9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br/>
              <w:t>январю</w:t>
            </w:r>
            <w:r w:rsidR="00031752">
              <w:rPr>
                <w:sz w:val="22"/>
              </w:rPr>
              <w:br/>
            </w:r>
            <w:r w:rsidR="00031752" w:rsidRPr="00A56788">
              <w:rPr>
                <w:sz w:val="22"/>
              </w:rPr>
              <w:t>201</w:t>
            </w:r>
            <w:r w:rsidR="00F60A6C">
              <w:rPr>
                <w:sz w:val="22"/>
              </w:rPr>
              <w:t>8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6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 w:rsidRPr="00E911D0"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</w:rPr>
              <w:br/>
            </w:r>
            <w:r w:rsidR="00BD050B">
              <w:rPr>
                <w:sz w:val="22"/>
              </w:rPr>
              <w:t>январь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CE583B">
              <w:rPr>
                <w:sz w:val="22"/>
              </w:rPr>
              <w:t>8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BD050B">
              <w:rPr>
                <w:sz w:val="22"/>
              </w:rPr>
              <w:t>январю</w:t>
            </w:r>
            <w:r w:rsidR="00BD050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CE583B">
              <w:rPr>
                <w:sz w:val="22"/>
              </w:rPr>
              <w:t>7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82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BF765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45398F" w:rsidP="00CE583B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на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BD050B">
              <w:rPr>
                <w:sz w:val="22"/>
              </w:rPr>
              <w:t>февраля</w:t>
            </w:r>
            <w:r w:rsidR="00B16FD9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 201</w:t>
            </w:r>
            <w:r w:rsidR="00CE583B">
              <w:rPr>
                <w:sz w:val="22"/>
              </w:rPr>
              <w:t>9</w:t>
            </w:r>
            <w:r w:rsidR="00031752">
              <w:rPr>
                <w:sz w:val="22"/>
              </w:rPr>
              <w:t xml:space="preserve"> г.</w:t>
            </w:r>
          </w:p>
        </w:tc>
        <w:tc>
          <w:tcPr>
            <w:tcW w:w="6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CE583B">
            <w:pPr>
              <w:spacing w:before="40" w:after="40" w:line="200" w:lineRule="exact"/>
              <w:ind w:left="-22" w:right="-25"/>
              <w:jc w:val="center"/>
              <w:rPr>
                <w:b/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BD050B">
              <w:rPr>
                <w:sz w:val="22"/>
              </w:rPr>
              <w:t>февраля</w:t>
            </w:r>
            <w:r w:rsidR="00A97332">
              <w:rPr>
                <w:sz w:val="22"/>
              </w:rPr>
              <w:br/>
            </w:r>
            <w:r w:rsidR="00031752">
              <w:rPr>
                <w:sz w:val="22"/>
              </w:rPr>
              <w:t>201</w:t>
            </w:r>
            <w:r w:rsidR="00CE583B">
              <w:rPr>
                <w:sz w:val="22"/>
              </w:rPr>
              <w:t>8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CE3F79" w:rsidRDefault="00F971FD" w:rsidP="00B06F69">
            <w:pPr>
              <w:spacing w:before="100" w:after="10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5771F" w:rsidRPr="00914BD1" w:rsidRDefault="001060E9" w:rsidP="00B06F69">
            <w:pPr>
              <w:spacing w:before="100" w:after="100" w:line="200" w:lineRule="exact"/>
              <w:ind w:right="18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3 523,2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1060E9" w:rsidP="00B06F69">
            <w:pPr>
              <w:spacing w:before="100" w:after="100" w:line="200" w:lineRule="exact"/>
              <w:ind w:right="25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1060E9" w:rsidP="00B06F69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F75C42" w:rsidRDefault="005B4FE0" w:rsidP="00B06F69">
            <w:pPr>
              <w:spacing w:before="100" w:after="100" w:line="200" w:lineRule="exact"/>
              <w:ind w:right="22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5 650,0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5B4FE0" w:rsidP="00B06F69">
            <w:pPr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75C42" w:rsidRDefault="005B4FE0" w:rsidP="00B06F69">
            <w:pPr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54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CE3F79" w:rsidRDefault="0045398F" w:rsidP="00B06F69">
            <w:pPr>
              <w:spacing w:before="100" w:after="10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="00F971FD" w:rsidRPr="00CE3F79">
              <w:rPr>
                <w:sz w:val="22"/>
              </w:rPr>
              <w:t xml:space="preserve">бласти </w:t>
            </w:r>
            <w:r w:rsidR="00DC702C">
              <w:rPr>
                <w:sz w:val="22"/>
              </w:rPr>
              <w:br/>
            </w:r>
            <w:r w:rsidR="00F971FD" w:rsidRPr="00CE3F79">
              <w:rPr>
                <w:sz w:val="22"/>
              </w:rPr>
              <w:t>и г</w:t>
            </w:r>
            <w:proofErr w:type="gramStart"/>
            <w:r w:rsidR="00F971FD" w:rsidRPr="00CE3F79">
              <w:rPr>
                <w:sz w:val="22"/>
              </w:rPr>
              <w:t>.М</w:t>
            </w:r>
            <w:proofErr w:type="gramEnd"/>
            <w:r w:rsidR="00F971FD" w:rsidRPr="00CE3F79">
              <w:rPr>
                <w:sz w:val="22"/>
              </w:rPr>
              <w:t>инск: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Default="00F971FD" w:rsidP="00B06F69">
            <w:pPr>
              <w:spacing w:before="100" w:after="100" w:line="200" w:lineRule="exact"/>
              <w:ind w:right="182"/>
              <w:jc w:val="right"/>
              <w:rPr>
                <w:sz w:val="22"/>
              </w:rPr>
            </w:pP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F971FD" w:rsidP="00B06F69">
            <w:pPr>
              <w:tabs>
                <w:tab w:val="left" w:pos="743"/>
              </w:tabs>
              <w:spacing w:before="100" w:after="100" w:line="200" w:lineRule="exact"/>
              <w:ind w:right="252"/>
              <w:jc w:val="right"/>
              <w:rPr>
                <w:sz w:val="22"/>
              </w:rPr>
            </w:pP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F971FD" w:rsidP="00B06F69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A71CF7" w:rsidRDefault="00F971FD" w:rsidP="00B06F69">
            <w:pPr>
              <w:spacing w:before="100" w:after="100" w:line="200" w:lineRule="exact"/>
              <w:ind w:right="221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71CF7" w:rsidRDefault="00F971FD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71CF7" w:rsidRDefault="00F971FD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B06F69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Default="001060E9" w:rsidP="00B06F69">
            <w:pPr>
              <w:spacing w:before="100" w:after="10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448,3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spacing w:before="100" w:after="10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786,5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B06F69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Default="001060E9" w:rsidP="00B06F69">
            <w:pPr>
              <w:spacing w:before="100" w:after="10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383,8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spacing w:before="100" w:after="10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580,1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CE3F79" w:rsidRDefault="00632984" w:rsidP="00B06F69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Default="001060E9" w:rsidP="00B06F69">
            <w:pPr>
              <w:spacing w:before="100" w:after="10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419,7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spacing w:before="100" w:after="10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102,4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664,7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B06F69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Default="001060E9" w:rsidP="00B06F69">
            <w:pPr>
              <w:spacing w:before="100" w:after="10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359,7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spacing w:before="100" w:after="10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107,8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520,1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A97332" w:rsidTr="00A97332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CE3F79" w:rsidRDefault="00632984" w:rsidP="00B06F69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Default="001060E9" w:rsidP="00B06F69">
            <w:pPr>
              <w:spacing w:before="100" w:after="10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1 091,7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spacing w:before="100" w:after="10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103,1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1 906,9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</w:tr>
      <w:tr w:rsidR="00A97332" w:rsidTr="00A97332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CE3F79" w:rsidRDefault="00632984" w:rsidP="00B06F69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Default="001060E9" w:rsidP="00B06F69">
            <w:pPr>
              <w:spacing w:before="100" w:after="10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506,3</w:t>
            </w:r>
          </w:p>
        </w:tc>
        <w:tc>
          <w:tcPr>
            <w:tcW w:w="66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spacing w:before="100" w:after="10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69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108,1</w:t>
            </w:r>
          </w:p>
        </w:tc>
        <w:tc>
          <w:tcPr>
            <w:tcW w:w="68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704,6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67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46</w:t>
            </w:r>
          </w:p>
        </w:tc>
      </w:tr>
      <w:tr w:rsidR="00A97332" w:rsidTr="00A97332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984" w:rsidRPr="00CE3F79" w:rsidRDefault="00632984" w:rsidP="00B06F69">
            <w:pPr>
              <w:spacing w:before="100" w:after="10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984" w:rsidRDefault="001060E9" w:rsidP="00B06F69">
            <w:pPr>
              <w:spacing w:before="100" w:after="100" w:line="200" w:lineRule="exact"/>
              <w:ind w:right="182"/>
              <w:jc w:val="right"/>
              <w:rPr>
                <w:sz w:val="22"/>
              </w:rPr>
            </w:pPr>
            <w:r>
              <w:rPr>
                <w:sz w:val="22"/>
              </w:rPr>
              <w:t>313,7</w:t>
            </w:r>
          </w:p>
        </w:tc>
        <w:tc>
          <w:tcPr>
            <w:tcW w:w="6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spacing w:before="100" w:after="100" w:line="200" w:lineRule="exact"/>
              <w:ind w:right="252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6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Default="001060E9" w:rsidP="00B06F69">
            <w:pPr>
              <w:tabs>
                <w:tab w:val="left" w:pos="854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68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221"/>
              <w:jc w:val="right"/>
              <w:rPr>
                <w:sz w:val="22"/>
              </w:rPr>
            </w:pPr>
            <w:r>
              <w:rPr>
                <w:sz w:val="22"/>
              </w:rPr>
              <w:t>487,1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2984" w:rsidRPr="00A71CF7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</w:tbl>
    <w:p w:rsidR="00AE6758" w:rsidRPr="000B6A53" w:rsidRDefault="00AE6758" w:rsidP="00BF765A">
      <w:pPr>
        <w:pStyle w:val="a3"/>
        <w:tabs>
          <w:tab w:val="left" w:pos="708"/>
        </w:tabs>
        <w:spacing w:before="36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/>
      </w:tblPr>
      <w:tblGrid>
        <w:gridCol w:w="3180"/>
        <w:gridCol w:w="1474"/>
        <w:gridCol w:w="1473"/>
        <w:gridCol w:w="1473"/>
        <w:gridCol w:w="1473"/>
      </w:tblGrid>
      <w:tr w:rsidR="00AE6758" w:rsidTr="0045398F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2A6816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 w:rsidR="00AE6758">
              <w:rPr>
                <w:sz w:val="22"/>
              </w:rPr>
              <w:t>201</w:t>
            </w:r>
            <w:r w:rsidR="00CE583B">
              <w:rPr>
                <w:sz w:val="22"/>
              </w:rPr>
              <w:t>9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45398F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E583B">
            <w:pPr>
              <w:spacing w:before="40" w:after="4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="002A6816">
              <w:rPr>
                <w:sz w:val="22"/>
              </w:rPr>
              <w:t xml:space="preserve">январю </w:t>
            </w:r>
            <w:r w:rsidRPr="00A56788">
              <w:rPr>
                <w:sz w:val="22"/>
              </w:rPr>
              <w:t>201</w:t>
            </w:r>
            <w:r w:rsidR="00CE583B">
              <w:rPr>
                <w:sz w:val="22"/>
              </w:rPr>
              <w:t>8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2A6816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</w:t>
            </w:r>
            <w:r>
              <w:rPr>
                <w:sz w:val="22"/>
              </w:rPr>
              <w:br/>
            </w:r>
            <w:r w:rsidR="00AE6758">
              <w:rPr>
                <w:sz w:val="22"/>
              </w:rPr>
              <w:t>201</w:t>
            </w:r>
            <w:r w:rsidR="00CE583B">
              <w:rPr>
                <w:sz w:val="22"/>
              </w:rPr>
              <w:t>9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E583B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E71AE1">
              <w:rPr>
                <w:sz w:val="22"/>
              </w:rPr>
              <w:t>январь</w:t>
            </w:r>
            <w:r w:rsidR="00E71AE1" w:rsidRPr="00E71AE1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CE583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AE6758" w:rsidTr="0045398F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90579A" w:rsidRDefault="00AE6758" w:rsidP="00B06F69">
            <w:pPr>
              <w:spacing w:before="100" w:after="10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B95119" w:rsidRDefault="005B4FE0" w:rsidP="00B06F69">
            <w:pPr>
              <w:spacing w:before="100" w:after="10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3 523,2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E6758" w:rsidRPr="00F971FD" w:rsidRDefault="005B4FE0" w:rsidP="00B06F69">
            <w:pPr>
              <w:spacing w:before="100" w:after="100" w:line="20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B95119" w:rsidRDefault="00AE6758" w:rsidP="00B06F69">
            <w:pPr>
              <w:spacing w:before="100" w:after="100" w:line="200" w:lineRule="exact"/>
              <w:ind w:right="482"/>
              <w:jc w:val="right"/>
              <w:rPr>
                <w:b/>
                <w:sz w:val="22"/>
              </w:rPr>
            </w:pPr>
            <w:r w:rsidRPr="00B95119">
              <w:rPr>
                <w:b/>
                <w:sz w:val="22"/>
              </w:rPr>
              <w:t>100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E6758" w:rsidRPr="00B95119" w:rsidRDefault="00AE6758" w:rsidP="00B06F69">
            <w:pPr>
              <w:spacing w:before="100" w:after="100" w:line="200" w:lineRule="exact"/>
              <w:ind w:right="482"/>
              <w:jc w:val="right"/>
              <w:rPr>
                <w:b/>
                <w:sz w:val="22"/>
              </w:rPr>
            </w:pPr>
            <w:r w:rsidRPr="00B95119">
              <w:rPr>
                <w:b/>
                <w:sz w:val="22"/>
              </w:rPr>
              <w:t>100</w:t>
            </w:r>
          </w:p>
        </w:tc>
      </w:tr>
      <w:tr w:rsidR="00AE6758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06F69">
            <w:pPr>
              <w:spacing w:before="100" w:after="10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06F69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AE6758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</w:p>
        </w:tc>
      </w:tr>
      <w:tr w:rsidR="00F971FD" w:rsidTr="0045398F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Default="00F971FD" w:rsidP="00B06F69">
            <w:pPr>
              <w:spacing w:before="100" w:after="10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322,6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84FEA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9,2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9,1</w:t>
            </w:r>
          </w:p>
        </w:tc>
      </w:tr>
      <w:tr w:rsidR="00F971FD" w:rsidRPr="00F84FEA" w:rsidTr="0045398F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F84FEA" w:rsidRDefault="00F971FD" w:rsidP="00B06F69">
            <w:pPr>
              <w:spacing w:before="100" w:after="10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F84FEA" w:rsidRDefault="005B4FE0" w:rsidP="00B06F69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266,8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84FEA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108,5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F84FEA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F84FEA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7,5</w:t>
            </w:r>
          </w:p>
        </w:tc>
      </w:tr>
      <w:tr w:rsidR="00F971FD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Default="00F971FD" w:rsidP="00B06F69">
            <w:pPr>
              <w:spacing w:before="100" w:after="10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55,8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</w:tr>
      <w:tr w:rsidR="00F971FD" w:rsidTr="0045398F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Default="00F971FD" w:rsidP="00B06F69">
            <w:pPr>
              <w:spacing w:before="100" w:after="10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2 382,6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67,6</w:t>
            </w:r>
          </w:p>
        </w:tc>
        <w:tc>
          <w:tcPr>
            <w:tcW w:w="81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68,4</w:t>
            </w:r>
          </w:p>
        </w:tc>
      </w:tr>
      <w:tr w:rsidR="00F971FD" w:rsidTr="0045398F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Default="00F971FD" w:rsidP="00B06F69">
            <w:pPr>
              <w:spacing w:before="100" w:after="10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государст-венной</w:t>
            </w:r>
            <w:proofErr w:type="spellEnd"/>
            <w:proofErr w:type="gramEnd"/>
            <w:r>
              <w:rPr>
                <w:sz w:val="22"/>
              </w:rPr>
              <w:t xml:space="preserve"> собственности 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252,3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7,2</w:t>
            </w:r>
          </w:p>
        </w:tc>
        <w:tc>
          <w:tcPr>
            <w:tcW w:w="812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8,5</w:t>
            </w:r>
          </w:p>
        </w:tc>
      </w:tr>
      <w:tr w:rsidR="00F971FD" w:rsidTr="0045398F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1FD" w:rsidRDefault="00F971FD" w:rsidP="00B06F69">
            <w:pPr>
              <w:spacing w:before="100" w:after="10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818,0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Default="005B4FE0" w:rsidP="00B06F69">
            <w:pPr>
              <w:spacing w:before="100" w:after="10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107,3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23,2</w:t>
            </w:r>
          </w:p>
        </w:tc>
        <w:tc>
          <w:tcPr>
            <w:tcW w:w="8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71FD" w:rsidRPr="00AE0AE3" w:rsidRDefault="005B4FE0" w:rsidP="00B06F69">
            <w:pPr>
              <w:spacing w:before="100" w:after="100" w:line="200" w:lineRule="exact"/>
              <w:ind w:right="482"/>
              <w:jc w:val="right"/>
              <w:rPr>
                <w:sz w:val="22"/>
              </w:rPr>
            </w:pPr>
            <w:r>
              <w:rPr>
                <w:sz w:val="22"/>
              </w:rPr>
              <w:t>22,5</w:t>
            </w:r>
          </w:p>
        </w:tc>
      </w:tr>
    </w:tbl>
    <w:p w:rsidR="00AE6758" w:rsidRPr="006B65E3" w:rsidRDefault="00AE6758" w:rsidP="00BF765A">
      <w:pPr>
        <w:pStyle w:val="a8"/>
        <w:spacing w:line="340" w:lineRule="exact"/>
      </w:pPr>
      <w:r w:rsidRPr="00FA2224">
        <w:t>В розничном товарообороте</w:t>
      </w:r>
      <w:r>
        <w:t xml:space="preserve"> удельный вес пищевых про</w:t>
      </w:r>
      <w:r w:rsidR="0045398F">
        <w:t>дуктов, напитков</w:t>
      </w:r>
      <w:r w:rsidR="0045398F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011BAF">
        <w:t xml:space="preserve">январе </w:t>
      </w:r>
      <w:r>
        <w:t>201</w:t>
      </w:r>
      <w:r w:rsidR="00CE583B">
        <w:t>9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5B4FE0">
        <w:t>50,6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5B4FE0">
        <w:t>49,4</w:t>
      </w:r>
      <w:r>
        <w:t>%</w:t>
      </w:r>
      <w:r w:rsidR="00D94586">
        <w:t xml:space="preserve"> (в январе 201</w:t>
      </w:r>
      <w:r w:rsidR="00CE583B">
        <w:t>8</w:t>
      </w:r>
      <w:r w:rsidR="00D94586">
        <w:t> г. –</w:t>
      </w:r>
      <w:r w:rsidR="00D94586" w:rsidRPr="005E6E39">
        <w:rPr>
          <w:sz w:val="20"/>
        </w:rPr>
        <w:t xml:space="preserve"> </w:t>
      </w:r>
      <w:r w:rsidR="00D94586">
        <w:t xml:space="preserve">соответственно </w:t>
      </w:r>
      <w:r w:rsidR="005B4FE0">
        <w:t>51</w:t>
      </w:r>
      <w:r w:rsidR="00D94586" w:rsidRPr="00C175BC">
        <w:t xml:space="preserve">% и </w:t>
      </w:r>
      <w:r w:rsidR="005B4FE0">
        <w:t>49</w:t>
      </w:r>
      <w:r w:rsidR="00D94586" w:rsidRPr="00C175BC">
        <w:t>%)</w:t>
      </w:r>
      <w:r w:rsidR="00011BAF">
        <w:t>.</w:t>
      </w:r>
    </w:p>
    <w:p w:rsidR="00AE6758" w:rsidRPr="004C2DF6" w:rsidRDefault="00AE6758" w:rsidP="00B06F69">
      <w:pPr>
        <w:pStyle w:val="a8"/>
        <w:contextualSpacing/>
        <w:rPr>
          <w:spacing w:val="-2"/>
        </w:rPr>
      </w:pPr>
      <w:r w:rsidRPr="002632F5">
        <w:rPr>
          <w:spacing w:val="-2"/>
        </w:rPr>
        <w:lastRenderedPageBreak/>
        <w:t xml:space="preserve">В </w:t>
      </w:r>
      <w:r w:rsidR="00D94586">
        <w:rPr>
          <w:spacing w:val="-2"/>
        </w:rPr>
        <w:t xml:space="preserve">январе </w:t>
      </w:r>
      <w:r w:rsidRPr="002632F5">
        <w:rPr>
          <w:spacing w:val="-2"/>
        </w:rPr>
        <w:t>201</w:t>
      </w:r>
      <w:r w:rsidR="00CE583B">
        <w:rPr>
          <w:spacing w:val="-2"/>
        </w:rPr>
        <w:t>9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5B4FE0">
        <w:rPr>
          <w:spacing w:val="-2"/>
          <w:szCs w:val="26"/>
        </w:rPr>
        <w:t xml:space="preserve">1,8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5B4FE0">
        <w:rPr>
          <w:spacing w:val="-2"/>
          <w:szCs w:val="26"/>
        </w:rPr>
        <w:t>103,7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января</w:t>
      </w:r>
      <w:r w:rsidR="00686FA2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201</w:t>
      </w:r>
      <w:r w:rsidR="00CE583B">
        <w:rPr>
          <w:spacing w:val="-2"/>
          <w:szCs w:val="26"/>
        </w:rPr>
        <w:t>8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45398F">
        <w:rPr>
          <w:spacing w:val="-2"/>
        </w:rPr>
        <w:t xml:space="preserve">– </w:t>
      </w:r>
      <w:r w:rsidRPr="002632F5">
        <w:rPr>
          <w:spacing w:val="-2"/>
        </w:rPr>
        <w:t xml:space="preserve">на </w:t>
      </w:r>
      <w:r w:rsidR="007E3B33">
        <w:rPr>
          <w:spacing w:val="-2"/>
        </w:rPr>
        <w:t xml:space="preserve"> </w:t>
      </w:r>
      <w:r w:rsidR="005B4FE0">
        <w:rPr>
          <w:spacing w:val="-2"/>
        </w:rPr>
        <w:t xml:space="preserve">1,7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5B4FE0">
        <w:rPr>
          <w:spacing w:val="-2"/>
        </w:rPr>
        <w:t>104,8</w:t>
      </w:r>
      <w:r w:rsidRPr="002632F5">
        <w:rPr>
          <w:spacing w:val="-2"/>
        </w:rPr>
        <w:t>%).</w:t>
      </w:r>
    </w:p>
    <w:p w:rsidR="0077784B" w:rsidRPr="00F0491C" w:rsidRDefault="0077784B" w:rsidP="00B06F69">
      <w:pPr>
        <w:pStyle w:val="a8"/>
        <w:spacing w:before="24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Pr="00F0491C">
        <w:rPr>
          <w:rFonts w:ascii="Arial" w:hAnsi="Arial" w:cs="Arial"/>
          <w:b/>
          <w:sz w:val="22"/>
          <w:szCs w:val="22"/>
        </w:rPr>
        <w:t xml:space="preserve"> </w:t>
      </w:r>
      <w:r w:rsidR="00A70A6F">
        <w:rPr>
          <w:rFonts w:ascii="Arial" w:hAnsi="Arial" w:cs="Arial"/>
          <w:b/>
          <w:sz w:val="22"/>
          <w:szCs w:val="22"/>
        </w:rPr>
        <w:br/>
      </w:r>
      <w:bookmarkStart w:id="0" w:name="_GoBack"/>
      <w:bookmarkEnd w:id="0"/>
      <w:r w:rsidRPr="00F0491C">
        <w:rPr>
          <w:rFonts w:ascii="Arial" w:hAnsi="Arial" w:cs="Arial"/>
          <w:b/>
          <w:sz w:val="22"/>
          <w:szCs w:val="22"/>
        </w:rPr>
        <w:t>и</w:t>
      </w:r>
      <w:r w:rsidR="00A70A6F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</w:p>
    <w:p w:rsidR="0077784B" w:rsidRPr="00F0491C" w:rsidRDefault="0077784B" w:rsidP="00BF765A">
      <w:pPr>
        <w:spacing w:before="80" w:after="80" w:line="220" w:lineRule="exact"/>
        <w:jc w:val="center"/>
        <w:rPr>
          <w:rFonts w:ascii="Arial" w:hAnsi="Arial" w:cs="Arial"/>
          <w:i/>
        </w:rPr>
      </w:pPr>
      <w:r w:rsidRPr="00F0491C">
        <w:rPr>
          <w:rFonts w:ascii="Arial" w:hAnsi="Arial" w:cs="Arial"/>
          <w:i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040"/>
        <w:gridCol w:w="1929"/>
        <w:gridCol w:w="1560"/>
        <w:gridCol w:w="2031"/>
        <w:gridCol w:w="1512"/>
      </w:tblGrid>
      <w:tr w:rsidR="0077784B" w:rsidTr="00C8364F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1E16F8" w:rsidRDefault="0077784B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Pr="00523D68" w:rsidRDefault="0077784B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</w:t>
            </w:r>
            <w:r w:rsidR="002004FC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товары</w:t>
            </w:r>
          </w:p>
        </w:tc>
      </w:tr>
      <w:tr w:rsidR="0077784B" w:rsidTr="00D16342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pStyle w:val="xl35"/>
              <w:spacing w:before="40" w:beforeAutospacing="0" w:after="4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</w:t>
            </w:r>
            <w:r w:rsidR="004D214D" w:rsidRPr="004D214D">
              <w:t xml:space="preserve"> </w:t>
            </w:r>
            <w:r>
              <w:rPr>
                <w:rFonts w:eastAsia="Times New Roman"/>
                <w:szCs w:val="20"/>
              </w:rPr>
              <w:t xml:space="preserve">соответствующему периоду </w:t>
            </w:r>
            <w:proofErr w:type="spellStart"/>
            <w:r>
              <w:rPr>
                <w:rFonts w:eastAsia="Times New Roman"/>
                <w:szCs w:val="20"/>
              </w:rPr>
              <w:t>преды-дущего</w:t>
            </w:r>
            <w:proofErr w:type="spellEnd"/>
            <w:r>
              <w:rPr>
                <w:rFonts w:eastAsia="Times New Roman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 w:rsidRPr="004D214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соответствующему 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784B" w:rsidRDefault="0077784B" w:rsidP="00B06F6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 w:rsidR="004D214D"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D94586" w:rsidRPr="001D387D" w:rsidTr="00F65CB8">
        <w:trPr>
          <w:trHeight w:val="329"/>
        </w:trPr>
        <w:tc>
          <w:tcPr>
            <w:tcW w:w="20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1D387D" w:rsidRDefault="00D94586" w:rsidP="00B06F69">
            <w:pPr>
              <w:pStyle w:val="6"/>
              <w:keepNext w:val="0"/>
              <w:spacing w:after="120"/>
              <w:ind w:left="0"/>
              <w:jc w:val="center"/>
            </w:pPr>
            <w:r>
              <w:t>201</w:t>
            </w:r>
            <w:r w:rsidR="00F60A6C">
              <w:t>8</w:t>
            </w:r>
            <w:r>
              <w:t xml:space="preserve"> г.</w:t>
            </w: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06F69">
            <w:pPr>
              <w:spacing w:before="120" w:after="12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06F69">
            <w:pPr>
              <w:spacing w:before="120" w:after="1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Default="00D94586" w:rsidP="00B06F69">
            <w:pPr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4586" w:rsidRPr="000A10D5" w:rsidRDefault="00D94586" w:rsidP="00B06F69">
            <w:pPr>
              <w:spacing w:before="120" w:after="1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17C84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  <w:i/>
              </w:rPr>
            </w:pPr>
            <w:r w:rsidRPr="00717C84">
              <w:rPr>
                <w:b w:val="0"/>
                <w:i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17C84" w:rsidRDefault="00717C84" w:rsidP="00B06F69">
            <w:pPr>
              <w:spacing w:before="120" w:after="120" w:line="200" w:lineRule="exact"/>
              <w:ind w:right="737"/>
              <w:jc w:val="right"/>
              <w:rPr>
                <w:i/>
                <w:sz w:val="22"/>
              </w:rPr>
            </w:pPr>
            <w:r w:rsidRPr="00717C84">
              <w:rPr>
                <w:i/>
                <w:sz w:val="22"/>
              </w:rPr>
              <w:t>105,7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i/>
                <w:sz w:val="22"/>
              </w:rPr>
            </w:pPr>
            <w:r w:rsidRPr="00717C84">
              <w:rPr>
                <w:i/>
                <w:sz w:val="22"/>
              </w:rPr>
              <w:t>82,1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17C84" w:rsidRDefault="00717C84" w:rsidP="00B06F69">
            <w:pPr>
              <w:spacing w:before="120" w:after="120" w:line="200" w:lineRule="exact"/>
              <w:ind w:right="680"/>
              <w:jc w:val="right"/>
              <w:rPr>
                <w:i/>
                <w:sz w:val="22"/>
              </w:rPr>
            </w:pPr>
            <w:r w:rsidRPr="00717C84">
              <w:rPr>
                <w:i/>
                <w:sz w:val="22"/>
              </w:rPr>
              <w:t>113,6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i/>
                <w:sz w:val="22"/>
              </w:rPr>
            </w:pPr>
            <w:r w:rsidRPr="00717C84">
              <w:rPr>
                <w:i/>
                <w:sz w:val="22"/>
              </w:rPr>
              <w:t>76,4</w:t>
            </w:r>
          </w:p>
        </w:tc>
      </w:tr>
      <w:tr w:rsidR="00717C84" w:rsidRPr="00523D68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717C84" w:rsidRPr="00523D68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915A7C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E70C5F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</w:tr>
      <w:tr w:rsidR="00717C84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BB4877" w:rsidRDefault="00717C84" w:rsidP="00B06F69">
            <w:pPr>
              <w:pStyle w:val="6"/>
              <w:keepNext w:val="0"/>
              <w:spacing w:after="120"/>
              <w:ind w:left="170"/>
            </w:pPr>
            <w:r w:rsidRPr="00BB4877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BB4877" w:rsidRDefault="00717C84" w:rsidP="00B06F69">
            <w:pPr>
              <w:spacing w:before="120" w:after="120" w:line="200" w:lineRule="exact"/>
              <w:ind w:right="737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106,3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BB4877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93,3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BB4877" w:rsidRDefault="00717C84" w:rsidP="00B06F69">
            <w:pPr>
              <w:spacing w:before="120" w:after="120" w:line="200" w:lineRule="exact"/>
              <w:ind w:right="68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113,3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BB4877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 w:rsidRPr="00BB4877">
              <w:rPr>
                <w:b/>
                <w:sz w:val="22"/>
              </w:rPr>
              <w:t>88,7</w:t>
            </w:r>
          </w:p>
        </w:tc>
      </w:tr>
      <w:tr w:rsidR="00717C84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BC7194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>
              <w:rPr>
                <w:b w:val="0"/>
              </w:rPr>
              <w:t>Апрель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5D53E2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5D53E2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5D53E2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5D53E2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717C84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BC7194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5D53E2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5D53E2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5D53E2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5D53E2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717C84" w:rsidRPr="002C0A47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717C84" w:rsidRPr="002C0A47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983F58" w:rsidRDefault="00717C84" w:rsidP="00B06F69">
            <w:pPr>
              <w:pStyle w:val="6"/>
              <w:keepNext w:val="0"/>
              <w:spacing w:after="120"/>
              <w:ind w:left="170"/>
            </w:pPr>
            <w:r w:rsidRPr="00983F58">
              <w:rPr>
                <w:lang w:val="en-US"/>
              </w:rPr>
              <w:t xml:space="preserve">II </w:t>
            </w:r>
            <w:proofErr w:type="spellStart"/>
            <w:r w:rsidRPr="00983F58">
              <w:rPr>
                <w:lang w:val="en-US"/>
              </w:rPr>
              <w:t>квартал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065316" w:rsidRDefault="00717C84" w:rsidP="00B06F69">
            <w:pPr>
              <w:spacing w:before="120" w:after="120" w:line="200" w:lineRule="exact"/>
              <w:ind w:right="737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106,5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065316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065316" w:rsidRDefault="00717C84" w:rsidP="00B06F69">
            <w:pPr>
              <w:spacing w:before="120" w:after="120" w:line="200" w:lineRule="exact"/>
              <w:ind w:right="68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114,0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065316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 w:rsidRPr="00065316">
              <w:rPr>
                <w:b/>
                <w:sz w:val="22"/>
              </w:rPr>
              <w:t>114,1</w:t>
            </w:r>
          </w:p>
        </w:tc>
      </w:tr>
      <w:tr w:rsidR="00717C84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FE7144" w:rsidRDefault="00717C84" w:rsidP="00B06F69">
            <w:pPr>
              <w:pStyle w:val="6"/>
              <w:keepNext w:val="0"/>
              <w:spacing w:after="120"/>
              <w:ind w:left="170"/>
              <w:rPr>
                <w:b w:val="0"/>
              </w:rPr>
            </w:pPr>
            <w:r w:rsidRPr="00FE7144">
              <w:rPr>
                <w:b w:val="0"/>
                <w:i/>
                <w:lang w:val="en-US"/>
              </w:rPr>
              <w:t xml:space="preserve">I </w:t>
            </w:r>
            <w:proofErr w:type="spellStart"/>
            <w:r w:rsidRPr="00FE7144">
              <w:rPr>
                <w:b w:val="0"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FE7144" w:rsidRDefault="00717C84" w:rsidP="00B06F69">
            <w:pPr>
              <w:spacing w:before="120" w:after="120" w:line="200" w:lineRule="exact"/>
              <w:ind w:right="737"/>
              <w:jc w:val="right"/>
              <w:rPr>
                <w:i/>
                <w:sz w:val="22"/>
              </w:rPr>
            </w:pPr>
            <w:r w:rsidRPr="00FE7144">
              <w:rPr>
                <w:i/>
                <w:sz w:val="22"/>
              </w:rPr>
              <w:t>106,4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FE7144" w:rsidRDefault="00932868" w:rsidP="00B06F69">
            <w:pPr>
              <w:spacing w:before="120" w:after="1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FE7144" w:rsidRDefault="00717C84" w:rsidP="00B06F69">
            <w:pPr>
              <w:spacing w:before="120" w:after="120" w:line="200" w:lineRule="exact"/>
              <w:ind w:right="680"/>
              <w:jc w:val="right"/>
              <w:rPr>
                <w:i/>
                <w:sz w:val="22"/>
              </w:rPr>
            </w:pPr>
            <w:r w:rsidRPr="00FE7144">
              <w:rPr>
                <w:i/>
                <w:sz w:val="22"/>
              </w:rPr>
              <w:t>113,7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FE7144" w:rsidRDefault="00717C84" w:rsidP="00B06F69">
            <w:pPr>
              <w:spacing w:before="120" w:after="1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FE7144">
              <w:rPr>
                <w:i/>
                <w:sz w:val="22"/>
              </w:rPr>
              <w:t>х</w:t>
            </w:r>
            <w:proofErr w:type="spellEnd"/>
          </w:p>
        </w:tc>
      </w:tr>
      <w:tr w:rsidR="00717C84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34215A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621CAD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621CAD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101,7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621CAD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111,1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621CAD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 w:rsidRPr="00621CAD">
              <w:rPr>
                <w:sz w:val="22"/>
              </w:rPr>
              <w:t>100,7</w:t>
            </w:r>
          </w:p>
        </w:tc>
      </w:tr>
      <w:tr w:rsidR="00717C84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 w:rsidRPr="0047002B"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621CAD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621CAD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621CAD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621CAD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</w:tr>
      <w:tr w:rsidR="00717C84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47002B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92,7</w:t>
            </w:r>
          </w:p>
        </w:tc>
      </w:tr>
      <w:tr w:rsidR="00717C84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pStyle w:val="6"/>
              <w:keepNext w:val="0"/>
              <w:spacing w:after="12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C8198E" w:rsidRDefault="00717C84" w:rsidP="00B06F69">
            <w:pPr>
              <w:spacing w:before="120" w:after="120" w:line="200" w:lineRule="exact"/>
              <w:ind w:right="737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C8198E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 w:rsidRPr="00C8198E">
              <w:rPr>
                <w:b/>
                <w:sz w:val="22"/>
              </w:rPr>
              <w:t>101,5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C8198E" w:rsidRDefault="00717C84" w:rsidP="00B06F69">
            <w:pPr>
              <w:spacing w:before="120" w:after="12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110,9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C8198E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106,0</w:t>
            </w:r>
          </w:p>
        </w:tc>
      </w:tr>
      <w:tr w:rsidR="00717C84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D37CFC" w:rsidRDefault="00717C84" w:rsidP="00B06F69">
            <w:pPr>
              <w:pStyle w:val="6"/>
              <w:keepNext w:val="0"/>
              <w:spacing w:after="120"/>
              <w:ind w:left="170"/>
              <w:rPr>
                <w:b w:val="0"/>
              </w:rPr>
            </w:pPr>
            <w:r w:rsidRPr="00D37CFC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D37CFC" w:rsidRDefault="00717C84" w:rsidP="00B06F69">
            <w:pPr>
              <w:spacing w:before="120" w:after="120" w:line="200" w:lineRule="exact"/>
              <w:ind w:right="737"/>
              <w:jc w:val="right"/>
              <w:rPr>
                <w:i/>
                <w:sz w:val="22"/>
              </w:rPr>
            </w:pPr>
            <w:r w:rsidRPr="00D37CFC">
              <w:rPr>
                <w:i/>
                <w:sz w:val="22"/>
              </w:rPr>
              <w:t>105,6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D37CFC" w:rsidRDefault="00932868" w:rsidP="00B06F69">
            <w:pPr>
              <w:spacing w:before="120" w:after="1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>
              <w:rPr>
                <w:i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D37CFC" w:rsidRDefault="00717C84" w:rsidP="00B06F69">
            <w:pPr>
              <w:spacing w:before="120" w:after="120" w:line="200" w:lineRule="exact"/>
              <w:ind w:right="680"/>
              <w:jc w:val="right"/>
              <w:rPr>
                <w:i/>
                <w:sz w:val="22"/>
              </w:rPr>
            </w:pPr>
            <w:r w:rsidRPr="00D37CFC">
              <w:rPr>
                <w:i/>
                <w:sz w:val="22"/>
              </w:rPr>
              <w:t>112,6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D37CFC" w:rsidRDefault="00717C84" w:rsidP="00B06F69">
            <w:pPr>
              <w:spacing w:before="120" w:after="120" w:line="200" w:lineRule="exact"/>
              <w:ind w:right="510"/>
              <w:jc w:val="right"/>
              <w:rPr>
                <w:i/>
                <w:sz w:val="22"/>
              </w:rPr>
            </w:pPr>
            <w:proofErr w:type="spellStart"/>
            <w:r w:rsidRPr="00D37CFC">
              <w:rPr>
                <w:i/>
                <w:sz w:val="22"/>
              </w:rPr>
              <w:t>х</w:t>
            </w:r>
            <w:proofErr w:type="spellEnd"/>
          </w:p>
        </w:tc>
      </w:tr>
      <w:tr w:rsidR="00717C84" w:rsidRPr="00AF387F" w:rsidTr="00C2174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5B6DC9" w:rsidRDefault="00717C84" w:rsidP="00B06F69">
            <w:pPr>
              <w:pStyle w:val="6"/>
              <w:keepNext w:val="0"/>
              <w:spacing w:after="12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D0311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 w:rsidRPr="007D0311">
              <w:rPr>
                <w:sz w:val="22"/>
              </w:rPr>
              <w:t>104,6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D0311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D0311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109,7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D0311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</w:tr>
      <w:tr w:rsidR="00717C84" w:rsidRPr="00AF387F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FB3BA4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7D0311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6901C2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  <w:lang w:val="en-US"/>
              </w:rPr>
            </w:pPr>
            <w:r>
              <w:rPr>
                <w:sz w:val="22"/>
              </w:rPr>
              <w:t>111,</w:t>
            </w:r>
            <w:r>
              <w:rPr>
                <w:sz w:val="22"/>
                <w:lang w:val="en-US"/>
              </w:rPr>
              <w:t>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</w:tr>
      <w:tr w:rsidR="00717C84" w:rsidRPr="00C81B84" w:rsidTr="00F65CB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pStyle w:val="6"/>
              <w:keepNext w:val="0"/>
              <w:spacing w:after="12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737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117,8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111,5</w:t>
            </w:r>
          </w:p>
        </w:tc>
      </w:tr>
      <w:tr w:rsidR="00717C84" w:rsidRPr="00C81B84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pStyle w:val="6"/>
              <w:keepNext w:val="0"/>
              <w:spacing w:after="12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DB749D" w:rsidRDefault="00717C84" w:rsidP="00B06F69">
            <w:pPr>
              <w:spacing w:before="120" w:after="120" w:line="200" w:lineRule="exact"/>
              <w:ind w:right="737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103,8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DB749D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99,5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DB749D" w:rsidRDefault="00717C84" w:rsidP="00B06F69">
            <w:pPr>
              <w:spacing w:before="120" w:after="120" w:line="200" w:lineRule="exact"/>
              <w:ind w:right="68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109,2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DB749D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r w:rsidRPr="00DB749D">
              <w:rPr>
                <w:b/>
                <w:sz w:val="22"/>
              </w:rPr>
              <w:t>105,2</w:t>
            </w:r>
          </w:p>
        </w:tc>
      </w:tr>
      <w:tr w:rsidR="00717C84" w:rsidRPr="001D387D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45398F" w:rsidRDefault="00717C84" w:rsidP="00B06F69">
            <w:pPr>
              <w:pStyle w:val="6"/>
              <w:keepNext w:val="0"/>
              <w:spacing w:after="120"/>
              <w:ind w:left="170"/>
            </w:pPr>
            <w:r w:rsidRPr="0045398F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45398F" w:rsidRDefault="00717C84" w:rsidP="00B06F69">
            <w:pPr>
              <w:spacing w:before="120" w:after="120" w:line="200" w:lineRule="exact"/>
              <w:ind w:right="737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105,1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45398F" w:rsidRDefault="00932868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45398F" w:rsidRDefault="00717C84" w:rsidP="00B06F69">
            <w:pPr>
              <w:spacing w:before="120" w:after="120" w:line="200" w:lineRule="exact"/>
              <w:ind w:right="680"/>
              <w:jc w:val="right"/>
              <w:rPr>
                <w:b/>
                <w:sz w:val="22"/>
              </w:rPr>
            </w:pPr>
            <w:r w:rsidRPr="0045398F">
              <w:rPr>
                <w:b/>
                <w:sz w:val="22"/>
              </w:rPr>
              <w:t>111,7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45398F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sz w:val="22"/>
              </w:rPr>
            </w:pPr>
            <w:proofErr w:type="spellStart"/>
            <w:r w:rsidRPr="0045398F">
              <w:rPr>
                <w:b/>
                <w:sz w:val="22"/>
              </w:rPr>
              <w:t>х</w:t>
            </w:r>
            <w:proofErr w:type="spellEnd"/>
          </w:p>
        </w:tc>
      </w:tr>
      <w:tr w:rsidR="00717C84" w:rsidRPr="00AF387F" w:rsidTr="0017266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1D387D" w:rsidRDefault="00717C84" w:rsidP="00B06F69">
            <w:pPr>
              <w:pStyle w:val="6"/>
              <w:keepNext w:val="0"/>
              <w:spacing w:after="120"/>
              <w:ind w:left="0"/>
              <w:jc w:val="center"/>
            </w:pPr>
            <w:r>
              <w:t>2019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73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0A10D5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Default="00717C84" w:rsidP="00B06F69">
            <w:pPr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17C84" w:rsidRPr="000A10D5" w:rsidRDefault="00717C84" w:rsidP="00B06F69">
            <w:pPr>
              <w:spacing w:before="120" w:after="12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717C84" w:rsidRPr="00FF1F54" w:rsidTr="00D94586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17C84" w:rsidRPr="00D94586" w:rsidRDefault="00717C84" w:rsidP="00B06F69">
            <w:pPr>
              <w:pStyle w:val="6"/>
              <w:keepNext w:val="0"/>
              <w:spacing w:after="120"/>
              <w:ind w:left="397"/>
              <w:rPr>
                <w:i/>
              </w:rPr>
            </w:pPr>
            <w:r w:rsidRPr="00D94586">
              <w:rPr>
                <w:i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C84" w:rsidRPr="00D94586" w:rsidRDefault="00932868" w:rsidP="00B06F69">
            <w:pPr>
              <w:spacing w:before="120" w:after="120" w:line="200" w:lineRule="exact"/>
              <w:ind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103,7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C84" w:rsidRPr="00D94586" w:rsidRDefault="00932868" w:rsidP="00B06F69">
            <w:pPr>
              <w:spacing w:before="120" w:after="12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83,1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C84" w:rsidRPr="00D94586" w:rsidRDefault="00FB0E68" w:rsidP="00B06F69">
            <w:pPr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104,8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7C84" w:rsidRPr="00D94586" w:rsidRDefault="00FB0E68" w:rsidP="00B06F69">
            <w:pPr>
              <w:spacing w:before="120" w:after="12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76,2</w:t>
            </w:r>
          </w:p>
        </w:tc>
      </w:tr>
    </w:tbl>
    <w:p w:rsidR="00B06F69" w:rsidRDefault="00B06F69" w:rsidP="00DC702C">
      <w:pPr>
        <w:pStyle w:val="a3"/>
        <w:tabs>
          <w:tab w:val="left" w:pos="708"/>
        </w:tabs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</w:p>
    <w:p w:rsidR="0029045B" w:rsidRDefault="0029045B" w:rsidP="00DC702C">
      <w:pPr>
        <w:pStyle w:val="a3"/>
        <w:tabs>
          <w:tab w:val="left" w:pos="708"/>
        </w:tabs>
        <w:spacing w:before="240" w:line="24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="00F14C13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 w:rsidR="00E24BFD"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</w:p>
    <w:p w:rsidR="0029045B" w:rsidRDefault="0029045B" w:rsidP="0029045B">
      <w:pPr>
        <w:pStyle w:val="a3"/>
        <w:tabs>
          <w:tab w:val="left" w:pos="708"/>
        </w:tabs>
        <w:spacing w:before="40" w:line="24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="00E24BFD"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E71AE1" w:rsidRDefault="00E71AE1" w:rsidP="0029045B">
      <w:pPr>
        <w:pStyle w:val="a3"/>
        <w:tabs>
          <w:tab w:val="left" w:pos="708"/>
        </w:tabs>
        <w:spacing w:before="40" w:line="240" w:lineRule="exact"/>
        <w:jc w:val="center"/>
        <w:rPr>
          <w:rFonts w:ascii="Arial" w:hAnsi="Arial" w:cs="Arial"/>
          <w:i/>
          <w:iCs/>
        </w:rPr>
      </w:pPr>
    </w:p>
    <w:p w:rsidR="00E71AE1" w:rsidRPr="001F1252" w:rsidRDefault="00B06752" w:rsidP="00E71AE1">
      <w:pPr>
        <w:tabs>
          <w:tab w:val="left" w:pos="5535"/>
        </w:tabs>
        <w:jc w:val="both"/>
        <w:rPr>
          <w:sz w:val="4"/>
          <w:szCs w:val="4"/>
        </w:rPr>
      </w:pPr>
      <w:r w:rsidRPr="00B06752">
        <w:rPr>
          <w:noProof/>
        </w:rPr>
        <w:pict>
          <v:group id="_x0000_s2385" style="position:absolute;left:0;text-align:left;margin-left:188.55pt;margin-top:116.5pt;width:286.85pt;height:21.35pt;z-index:251810816" coordorigin="4788,5105" coordsize="5066,480">
            <v:rect id="_x0000_s2386" style="position:absolute;left:4788;top:5132;width:1004;height:357;rotation:70339fd;flip:x" filled="f" strokecolor="white" strokeweight=".25pt">
              <v:textbox style="mso-next-textbox:#_x0000_s2386">
                <w:txbxContent>
                  <w:p w:rsidR="0058723E" w:rsidRPr="00B77D68" w:rsidRDefault="0058723E" w:rsidP="00E71AE1">
                    <w:pP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8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  <w:p w:rsidR="0058723E" w:rsidRDefault="0058723E" w:rsidP="00E71AE1"/>
                </w:txbxContent>
              </v:textbox>
            </v:rect>
            <v:rect id="_x0000_s2387" style="position:absolute;left:8859;top:5105;width:995;height:480;flip:x" filled="f" strokecolor="white" strokeweight=".25pt">
              <v:textbox style="mso-next-textbox:#_x0000_s2387">
                <w:txbxContent>
                  <w:p w:rsidR="0058723E" w:rsidRPr="00B77D68" w:rsidRDefault="0058723E" w:rsidP="00E71AE1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9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E71AE1" w:rsidRPr="00A278DB">
        <w:rPr>
          <w:noProof/>
          <w:color w:val="FF6600"/>
        </w:rPr>
        <w:drawing>
          <wp:inline distT="0" distB="0" distL="0" distR="0">
            <wp:extent cx="6210300" cy="1990725"/>
            <wp:effectExtent l="0" t="0" r="0" b="0"/>
            <wp:docPr id="8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669FE" w:rsidRPr="007B40F1" w:rsidRDefault="00F669FE" w:rsidP="00603A7C">
      <w:pPr>
        <w:pStyle w:val="a8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январе</w:t>
      </w:r>
      <w:r w:rsidRPr="00672F1B">
        <w:rPr>
          <w:spacing w:val="-2"/>
          <w:szCs w:val="26"/>
        </w:rPr>
        <w:t xml:space="preserve"> 201</w:t>
      </w:r>
      <w:r w:rsidR="006A222D">
        <w:rPr>
          <w:spacing w:val="-2"/>
          <w:szCs w:val="26"/>
        </w:rPr>
        <w:t>9</w:t>
      </w:r>
      <w:r w:rsidRPr="00672F1B">
        <w:rPr>
          <w:spacing w:val="-2"/>
          <w:szCs w:val="26"/>
          <w:lang w:val="en-US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90</w:t>
      </w:r>
      <w:r w:rsidRPr="00672F1B">
        <w:rPr>
          <w:spacing w:val="-2"/>
          <w:szCs w:val="26"/>
        </w:rPr>
        <w:t xml:space="preserve">% формировался организациями торговли и на </w:t>
      </w:r>
      <w:r w:rsidR="00FB0E68">
        <w:rPr>
          <w:spacing w:val="-2"/>
          <w:szCs w:val="26"/>
        </w:rPr>
        <w:t>10</w:t>
      </w:r>
      <w:r w:rsidRPr="00672F1B">
        <w:rPr>
          <w:spacing w:val="-2"/>
          <w:szCs w:val="26"/>
        </w:rPr>
        <w:t>% – ин</w:t>
      </w:r>
      <w:r w:rsidR="00B06F69">
        <w:rPr>
          <w:spacing w:val="-2"/>
          <w:szCs w:val="26"/>
        </w:rPr>
        <w:t>дивидуальными предпринимателями</w:t>
      </w:r>
      <w:r w:rsidR="00B06F69">
        <w:rPr>
          <w:spacing w:val="-2"/>
          <w:szCs w:val="26"/>
        </w:rPr>
        <w:br/>
      </w:r>
      <w:r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январе</w:t>
      </w:r>
      <w:r>
        <w:rPr>
          <w:spacing w:val="-2"/>
          <w:szCs w:val="26"/>
        </w:rPr>
        <w:t xml:space="preserve"> </w:t>
      </w:r>
      <w:r w:rsidRPr="00672F1B">
        <w:rPr>
          <w:spacing w:val="-2"/>
          <w:szCs w:val="26"/>
        </w:rPr>
        <w:t>201</w:t>
      </w:r>
      <w:r w:rsidR="006A222D">
        <w:rPr>
          <w:spacing w:val="-2"/>
          <w:szCs w:val="26"/>
        </w:rPr>
        <w:t>8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Pr="00672F1B">
        <w:rPr>
          <w:spacing w:val="-2"/>
          <w:szCs w:val="26"/>
        </w:rPr>
        <w:t xml:space="preserve"> – соответственно </w:t>
      </w:r>
      <w:r w:rsidR="00FB0E68">
        <w:rPr>
          <w:spacing w:val="-2"/>
          <w:szCs w:val="26"/>
        </w:rPr>
        <w:t>88,5</w:t>
      </w:r>
      <w:r w:rsidRPr="00F21633">
        <w:rPr>
          <w:spacing w:val="-2"/>
          <w:szCs w:val="26"/>
        </w:rPr>
        <w:t xml:space="preserve">% и </w:t>
      </w:r>
      <w:r w:rsidR="00FB0E68">
        <w:rPr>
          <w:spacing w:val="-2"/>
          <w:szCs w:val="26"/>
        </w:rPr>
        <w:t>11,5</w:t>
      </w:r>
      <w:r w:rsidRPr="00672F1B">
        <w:rPr>
          <w:spacing w:val="-2"/>
          <w:szCs w:val="26"/>
        </w:rPr>
        <w:t>%).</w:t>
      </w:r>
    </w:p>
    <w:p w:rsidR="009B44B3" w:rsidRDefault="009B44B3" w:rsidP="0058723E">
      <w:pPr>
        <w:pStyle w:val="a8"/>
        <w:spacing w:before="160" w:after="80" w:line="2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5000" w:type="pct"/>
        <w:jc w:val="center"/>
        <w:tblInd w:w="-3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724"/>
        <w:gridCol w:w="1741"/>
        <w:gridCol w:w="1566"/>
        <w:gridCol w:w="1411"/>
        <w:gridCol w:w="1769"/>
      </w:tblGrid>
      <w:tr w:rsidR="00C304D8" w:rsidTr="00C304D8">
        <w:trPr>
          <w:cantSplit/>
          <w:trHeight w:val="126"/>
          <w:jc w:val="center"/>
        </w:trPr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D8" w:rsidRDefault="00C304D8" w:rsidP="0058723E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D8" w:rsidRDefault="00C304D8" w:rsidP="005872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 2019 г.,</w:t>
            </w:r>
            <w:r>
              <w:rPr>
                <w:sz w:val="22"/>
              </w:rPr>
              <w:br/>
              <w:t xml:space="preserve">млн. руб. </w:t>
            </w:r>
            <w:r w:rsidRPr="00FB488D">
              <w:rPr>
                <w:sz w:val="22"/>
              </w:rPr>
              <w:br/>
            </w:r>
            <w:r>
              <w:rPr>
                <w:sz w:val="22"/>
              </w:rPr>
              <w:t>(в текущих ценах)</w:t>
            </w:r>
          </w:p>
        </w:tc>
        <w:tc>
          <w:tcPr>
            <w:tcW w:w="257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Pr="002E2B91" w:rsidRDefault="00C304D8" w:rsidP="005872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C304D8" w:rsidTr="00C304D8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58723E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58723E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6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Default="00AA07C5" w:rsidP="005872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C304D8">
              <w:rPr>
                <w:sz w:val="22"/>
              </w:rPr>
              <w:t xml:space="preserve">нварь 2019 г. </w:t>
            </w:r>
            <w:proofErr w:type="gramStart"/>
            <w:r w:rsidR="00C304D8" w:rsidRPr="002E2B91">
              <w:rPr>
                <w:sz w:val="22"/>
              </w:rPr>
              <w:t>в</w:t>
            </w:r>
            <w:proofErr w:type="gramEnd"/>
            <w:r w:rsidR="00C304D8">
              <w:rPr>
                <w:sz w:val="22"/>
              </w:rPr>
              <w:t xml:space="preserve"> </w:t>
            </w:r>
            <w:r w:rsidR="00C304D8" w:rsidRPr="002E2B91">
              <w:rPr>
                <w:sz w:val="22"/>
              </w:rPr>
              <w:t>% к</w:t>
            </w:r>
          </w:p>
        </w:tc>
        <w:tc>
          <w:tcPr>
            <w:tcW w:w="9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04D8" w:rsidRPr="002E2B91" w:rsidRDefault="00C304D8" w:rsidP="0058723E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  <w:u w:val="single"/>
              </w:rPr>
              <w:br/>
            </w:r>
            <w:r>
              <w:rPr>
                <w:sz w:val="22"/>
              </w:rPr>
              <w:t xml:space="preserve">январь </w:t>
            </w:r>
            <w:r w:rsidRPr="002E2B91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>
              <w:rPr>
                <w:sz w:val="22"/>
              </w:rPr>
              <w:t xml:space="preserve">январю </w:t>
            </w:r>
            <w:r w:rsidRPr="002E2B91">
              <w:rPr>
                <w:sz w:val="22"/>
              </w:rPr>
              <w:t>201</w:t>
            </w:r>
            <w:r>
              <w:rPr>
                <w:sz w:val="22"/>
              </w:rPr>
              <w:t>7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C304D8" w:rsidTr="00C304D8">
        <w:trPr>
          <w:cantSplit/>
          <w:trHeight w:val="340"/>
          <w:jc w:val="center"/>
        </w:trPr>
        <w:tc>
          <w:tcPr>
            <w:tcW w:w="14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B06F6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4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B06F69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Default="00AA07C5" w:rsidP="005872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C304D8">
              <w:rPr>
                <w:sz w:val="22"/>
              </w:rPr>
              <w:t>нварю</w:t>
            </w:r>
            <w:r>
              <w:rPr>
                <w:sz w:val="22"/>
              </w:rPr>
              <w:br/>
            </w:r>
            <w:r w:rsidR="00C304D8">
              <w:rPr>
                <w:sz w:val="22"/>
              </w:rPr>
              <w:t xml:space="preserve"> 2018 г.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4D8" w:rsidRDefault="00AA07C5" w:rsidP="0058723E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9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B06F69">
            <w:pPr>
              <w:spacing w:before="40" w:after="4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C304D8" w:rsidTr="00C304D8">
        <w:trPr>
          <w:cantSplit/>
          <w:trHeight w:val="20"/>
          <w:jc w:val="center"/>
        </w:trPr>
        <w:tc>
          <w:tcPr>
            <w:tcW w:w="14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Default="00C304D8" w:rsidP="00603A7C">
            <w:pPr>
              <w:spacing w:before="80" w:after="80" w:line="200" w:lineRule="exact"/>
              <w:ind w:right="-57"/>
              <w:rPr>
                <w:b/>
                <w:sz w:val="22"/>
                <w:lang w:val="en-US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  <w:p w:rsidR="00603A7C" w:rsidRPr="00603A7C" w:rsidRDefault="00603A7C" w:rsidP="00603A7C">
            <w:pPr>
              <w:spacing w:before="80" w:after="80" w:line="200" w:lineRule="exact"/>
              <w:ind w:right="-57"/>
              <w:rPr>
                <w:b/>
                <w:sz w:val="22"/>
                <w:lang w:val="en-US"/>
              </w:rPr>
            </w:pPr>
          </w:p>
        </w:tc>
        <w:tc>
          <w:tcPr>
            <w:tcW w:w="9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Pr="00A237BC" w:rsidRDefault="00AA07C5" w:rsidP="00603A7C">
            <w:pPr>
              <w:tabs>
                <w:tab w:val="left" w:pos="1490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3 523,2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Pr="00A237BC" w:rsidRDefault="00AA07C5" w:rsidP="00603A7C">
            <w:pPr>
              <w:tabs>
                <w:tab w:val="left" w:pos="1120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Pr="00A237BC" w:rsidRDefault="00AA07C5" w:rsidP="00603A7C">
            <w:pPr>
              <w:tabs>
                <w:tab w:val="left" w:pos="1120"/>
              </w:tabs>
              <w:spacing w:before="80" w:after="8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9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Pr="00AA7B10" w:rsidRDefault="00AA07C5" w:rsidP="00603A7C">
            <w:pPr>
              <w:tabs>
                <w:tab w:val="left" w:pos="624"/>
              </w:tabs>
              <w:spacing w:before="80" w:after="8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109,5</w:t>
            </w:r>
          </w:p>
        </w:tc>
      </w:tr>
      <w:tr w:rsidR="00C304D8" w:rsidTr="00C304D8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Default="00C304D8" w:rsidP="00603A7C">
            <w:pPr>
              <w:spacing w:before="8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Default="00C304D8" w:rsidP="00603A7C">
            <w:pPr>
              <w:tabs>
                <w:tab w:val="left" w:pos="1490"/>
              </w:tabs>
              <w:spacing w:before="80" w:after="80" w:line="200" w:lineRule="exact"/>
              <w:ind w:right="454" w:firstLine="284"/>
              <w:jc w:val="right"/>
              <w:rPr>
                <w:sz w:val="22"/>
              </w:rPr>
            </w:pP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603A7C">
            <w:pPr>
              <w:tabs>
                <w:tab w:val="left" w:pos="1120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</w:tcPr>
          <w:p w:rsidR="00C304D8" w:rsidRDefault="00C304D8" w:rsidP="00603A7C">
            <w:pPr>
              <w:tabs>
                <w:tab w:val="left" w:pos="1120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Default="00C304D8" w:rsidP="00603A7C">
            <w:pPr>
              <w:tabs>
                <w:tab w:val="left" w:pos="624"/>
              </w:tabs>
              <w:spacing w:before="80" w:after="80" w:line="200" w:lineRule="exact"/>
              <w:ind w:right="624"/>
              <w:jc w:val="right"/>
              <w:rPr>
                <w:sz w:val="22"/>
              </w:rPr>
            </w:pPr>
          </w:p>
        </w:tc>
      </w:tr>
      <w:tr w:rsidR="00C304D8" w:rsidTr="00C304D8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Default="00C304D8" w:rsidP="00603A7C">
            <w:pPr>
              <w:spacing w:before="80" w:after="8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9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Default="00AA07C5" w:rsidP="00603A7C">
            <w:pPr>
              <w:tabs>
                <w:tab w:val="left" w:pos="624"/>
                <w:tab w:val="left" w:pos="1490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3 172,5</w:t>
            </w:r>
          </w:p>
        </w:tc>
        <w:tc>
          <w:tcPr>
            <w:tcW w:w="8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Default="00AA07C5" w:rsidP="00603A7C">
            <w:pPr>
              <w:tabs>
                <w:tab w:val="left" w:pos="1120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106,3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Default="00AA07C5" w:rsidP="00603A7C">
            <w:pPr>
              <w:tabs>
                <w:tab w:val="left" w:pos="1120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79,5</w:t>
            </w:r>
          </w:p>
        </w:tc>
        <w:tc>
          <w:tcPr>
            <w:tcW w:w="9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04D8" w:rsidRDefault="00AA07C5" w:rsidP="00603A7C">
            <w:pPr>
              <w:tabs>
                <w:tab w:val="left" w:pos="624"/>
              </w:tabs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112,0</w:t>
            </w:r>
          </w:p>
        </w:tc>
      </w:tr>
      <w:tr w:rsidR="00C304D8" w:rsidTr="00C304D8">
        <w:trPr>
          <w:cantSplit/>
          <w:trHeight w:val="20"/>
          <w:jc w:val="center"/>
        </w:trPr>
        <w:tc>
          <w:tcPr>
            <w:tcW w:w="14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4D8" w:rsidRDefault="00C304D8" w:rsidP="00603A7C">
            <w:pPr>
              <w:spacing w:before="80" w:after="8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</w:t>
            </w:r>
            <w:r w:rsidR="0058723E">
              <w:rPr>
                <w:sz w:val="22"/>
              </w:rPr>
              <w:t>инимателей</w:t>
            </w:r>
            <w:r w:rsidR="0058723E">
              <w:rPr>
                <w:sz w:val="22"/>
              </w:rPr>
              <w:br/>
            </w:r>
            <w:r>
              <w:rPr>
                <w:sz w:val="22"/>
              </w:rPr>
              <w:t>и физических лиц</w:t>
            </w:r>
          </w:p>
        </w:tc>
        <w:tc>
          <w:tcPr>
            <w:tcW w:w="9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4D8" w:rsidRDefault="00AA07C5" w:rsidP="00603A7C">
            <w:pPr>
              <w:tabs>
                <w:tab w:val="left" w:pos="1490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350,7</w:t>
            </w:r>
          </w:p>
        </w:tc>
        <w:tc>
          <w:tcPr>
            <w:tcW w:w="8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4D8" w:rsidRPr="00D912DB" w:rsidRDefault="00AA07C5" w:rsidP="00603A7C">
            <w:pPr>
              <w:tabs>
                <w:tab w:val="left" w:pos="1120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88,5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304D8" w:rsidRPr="00D912DB" w:rsidRDefault="00AA07C5" w:rsidP="00603A7C">
            <w:pPr>
              <w:tabs>
                <w:tab w:val="left" w:pos="1120"/>
              </w:tabs>
              <w:spacing w:before="80" w:after="8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80,0</w:t>
            </w:r>
          </w:p>
        </w:tc>
        <w:tc>
          <w:tcPr>
            <w:tcW w:w="9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04D8" w:rsidRPr="00FC4879" w:rsidRDefault="00AA07C5" w:rsidP="00603A7C">
            <w:pPr>
              <w:tabs>
                <w:tab w:val="left" w:pos="624"/>
              </w:tabs>
              <w:spacing w:before="80" w:after="8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93,7</w:t>
            </w:r>
          </w:p>
        </w:tc>
      </w:tr>
    </w:tbl>
    <w:p w:rsidR="00CD73EB" w:rsidRDefault="00CD73EB" w:rsidP="00603A7C">
      <w:pPr>
        <w:pStyle w:val="a8"/>
        <w:spacing w:before="240"/>
        <w:rPr>
          <w:rFonts w:ascii="Arial" w:hAnsi="Arial" w:cs="Arial"/>
          <w:b/>
          <w:sz w:val="22"/>
          <w:szCs w:val="22"/>
        </w:rPr>
      </w:pPr>
      <w:r w:rsidRPr="00672F1B">
        <w:rPr>
          <w:spacing w:val="-2"/>
          <w:szCs w:val="26"/>
        </w:rPr>
        <w:t>Розничный товарооборот организаций торговли в</w:t>
      </w:r>
      <w:r>
        <w:rPr>
          <w:spacing w:val="-2"/>
          <w:szCs w:val="26"/>
        </w:rPr>
        <w:t xml:space="preserve"> январе</w:t>
      </w:r>
      <w:r w:rsidRPr="00672F1B">
        <w:rPr>
          <w:spacing w:val="-2"/>
          <w:szCs w:val="26"/>
        </w:rPr>
        <w:t xml:space="preserve"> </w:t>
      </w:r>
      <w:r>
        <w:rPr>
          <w:spacing w:val="-2"/>
          <w:szCs w:val="26"/>
        </w:rPr>
        <w:t>201</w:t>
      </w:r>
      <w:r w:rsidR="00D700FF">
        <w:rPr>
          <w:spacing w:val="-2"/>
          <w:szCs w:val="26"/>
        </w:rPr>
        <w:t>9</w:t>
      </w:r>
      <w:r>
        <w:rPr>
          <w:spacing w:val="-2"/>
          <w:szCs w:val="26"/>
        </w:rPr>
        <w:t xml:space="preserve"> г. составил </w:t>
      </w:r>
      <w:r>
        <w:rPr>
          <w:spacing w:val="-2"/>
          <w:szCs w:val="26"/>
        </w:rPr>
        <w:br/>
      </w:r>
      <w:r w:rsidR="00AA07C5">
        <w:rPr>
          <w:spacing w:val="-2"/>
          <w:szCs w:val="26"/>
        </w:rPr>
        <w:t>3,2</w:t>
      </w:r>
      <w:r w:rsidRPr="00672F1B">
        <w:rPr>
          <w:spacing w:val="-2"/>
          <w:szCs w:val="26"/>
        </w:rPr>
        <w:t xml:space="preserve"> млрд.</w:t>
      </w:r>
      <w:r>
        <w:rPr>
          <w:spacing w:val="-2"/>
          <w:szCs w:val="26"/>
        </w:rPr>
        <w:t> </w:t>
      </w:r>
      <w:r w:rsidRPr="00672F1B">
        <w:rPr>
          <w:spacing w:val="-2"/>
          <w:szCs w:val="26"/>
        </w:rPr>
        <w:t xml:space="preserve">рублей, или в сопоставимых ценах </w:t>
      </w:r>
      <w:r w:rsidR="00AA07C5">
        <w:rPr>
          <w:spacing w:val="-2"/>
          <w:szCs w:val="26"/>
        </w:rPr>
        <w:t>106,3</w:t>
      </w:r>
      <w:r w:rsidRPr="00672F1B">
        <w:rPr>
          <w:spacing w:val="-2"/>
          <w:szCs w:val="26"/>
        </w:rPr>
        <w:t>% к уровню</w:t>
      </w:r>
      <w:r>
        <w:rPr>
          <w:spacing w:val="-2"/>
          <w:szCs w:val="26"/>
        </w:rPr>
        <w:t xml:space="preserve"> января</w:t>
      </w:r>
      <w:r w:rsidRPr="00672F1B">
        <w:rPr>
          <w:spacing w:val="-2"/>
          <w:szCs w:val="26"/>
        </w:rPr>
        <w:t xml:space="preserve"> 201</w:t>
      </w:r>
      <w:r w:rsidR="00D700FF">
        <w:rPr>
          <w:spacing w:val="-2"/>
          <w:szCs w:val="26"/>
        </w:rPr>
        <w:t>8</w:t>
      </w:r>
      <w:r w:rsidRPr="00672F1B">
        <w:rPr>
          <w:spacing w:val="-2"/>
          <w:szCs w:val="26"/>
        </w:rPr>
        <w:t xml:space="preserve"> г</w:t>
      </w:r>
      <w:r>
        <w:rPr>
          <w:spacing w:val="-2"/>
          <w:szCs w:val="26"/>
        </w:rPr>
        <w:t>.</w:t>
      </w:r>
    </w:p>
    <w:p w:rsidR="00F14C13" w:rsidRPr="002B27B0" w:rsidRDefault="00F14C13" w:rsidP="00603A7C">
      <w:pPr>
        <w:shd w:val="clear" w:color="auto" w:fill="FFFFFF" w:themeFill="background1"/>
        <w:tabs>
          <w:tab w:val="left" w:pos="5535"/>
        </w:tabs>
        <w:spacing w:line="360" w:lineRule="exact"/>
        <w:ind w:firstLine="709"/>
        <w:contextualSpacing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 w:rsidR="006663FB">
        <w:rPr>
          <w:sz w:val="26"/>
          <w:szCs w:val="26"/>
        </w:rPr>
        <w:t xml:space="preserve"> январе</w:t>
      </w:r>
      <w:r w:rsidR="002B27B0">
        <w:rPr>
          <w:sz w:val="26"/>
          <w:szCs w:val="26"/>
        </w:rPr>
        <w:t xml:space="preserve"> </w:t>
      </w:r>
      <w:r w:rsidRPr="0066671D">
        <w:rPr>
          <w:sz w:val="26"/>
          <w:szCs w:val="26"/>
        </w:rPr>
        <w:t>201</w:t>
      </w:r>
      <w:r w:rsidR="006A222D">
        <w:rPr>
          <w:sz w:val="26"/>
          <w:szCs w:val="26"/>
        </w:rPr>
        <w:t>9</w:t>
      </w:r>
      <w:r w:rsidRPr="0066671D">
        <w:rPr>
          <w:sz w:val="26"/>
          <w:szCs w:val="26"/>
        </w:rPr>
        <w:t> г</w:t>
      </w:r>
      <w:r w:rsidR="006663FB"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4D03A5">
        <w:rPr>
          <w:sz w:val="26"/>
          <w:szCs w:val="26"/>
        </w:rPr>
        <w:t>1,7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 w:rsidR="00AA07C5">
        <w:rPr>
          <w:sz w:val="26"/>
          <w:szCs w:val="26"/>
        </w:rPr>
        <w:t>104,6</w:t>
      </w:r>
      <w:r w:rsidRPr="0066671D">
        <w:rPr>
          <w:sz w:val="26"/>
          <w:szCs w:val="26"/>
        </w:rPr>
        <w:t xml:space="preserve">% к уровню </w:t>
      </w:r>
      <w:r w:rsidR="00E71AE1">
        <w:rPr>
          <w:sz w:val="26"/>
          <w:szCs w:val="26"/>
        </w:rPr>
        <w:t xml:space="preserve">января </w:t>
      </w:r>
      <w:r w:rsidRPr="0066671D">
        <w:rPr>
          <w:sz w:val="26"/>
          <w:szCs w:val="26"/>
        </w:rPr>
        <w:t>201</w:t>
      </w:r>
      <w:r w:rsidR="006A222D">
        <w:rPr>
          <w:sz w:val="26"/>
          <w:szCs w:val="26"/>
        </w:rPr>
        <w:t>8</w:t>
      </w:r>
      <w:r w:rsidRPr="0066671D">
        <w:rPr>
          <w:sz w:val="26"/>
          <w:szCs w:val="26"/>
        </w:rPr>
        <w:t> г</w:t>
      </w:r>
      <w:r w:rsidR="00E71AE1"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 w:rsidR="00AA07C5">
        <w:rPr>
          <w:sz w:val="26"/>
          <w:szCs w:val="26"/>
        </w:rPr>
        <w:t>95,4</w:t>
      </w:r>
      <w:r w:rsidRPr="0066671D">
        <w:rPr>
          <w:sz w:val="26"/>
          <w:szCs w:val="26"/>
        </w:rPr>
        <w:t xml:space="preserve">% от всей продажи продовольственных товаров </w:t>
      </w:r>
      <w:r w:rsidRPr="00D4105A">
        <w:rPr>
          <w:sz w:val="26"/>
          <w:szCs w:val="26"/>
        </w:rPr>
        <w:t>(</w:t>
      </w:r>
      <w:r w:rsidRPr="00D4105A">
        <w:rPr>
          <w:spacing w:val="-6"/>
          <w:sz w:val="26"/>
          <w:szCs w:val="26"/>
        </w:rPr>
        <w:t>в</w:t>
      </w:r>
      <w:r w:rsidR="006663FB">
        <w:rPr>
          <w:spacing w:val="-6"/>
          <w:sz w:val="26"/>
          <w:szCs w:val="26"/>
        </w:rPr>
        <w:t xml:space="preserve"> январе</w:t>
      </w:r>
      <w:r w:rsidRPr="00D4105A">
        <w:rPr>
          <w:spacing w:val="-6"/>
          <w:sz w:val="26"/>
          <w:szCs w:val="26"/>
        </w:rPr>
        <w:t xml:space="preserve"> 201</w:t>
      </w:r>
      <w:r w:rsidR="006A222D">
        <w:rPr>
          <w:spacing w:val="-6"/>
          <w:sz w:val="26"/>
          <w:szCs w:val="26"/>
        </w:rPr>
        <w:t>8</w:t>
      </w:r>
      <w:r w:rsidRPr="00D4105A">
        <w:rPr>
          <w:spacing w:val="-6"/>
          <w:sz w:val="26"/>
          <w:szCs w:val="26"/>
        </w:rPr>
        <w:t xml:space="preserve"> г</w:t>
      </w:r>
      <w:r w:rsidR="006663FB">
        <w:rPr>
          <w:spacing w:val="-6"/>
          <w:sz w:val="26"/>
          <w:szCs w:val="26"/>
        </w:rPr>
        <w:t>.</w:t>
      </w:r>
      <w:r w:rsidRPr="00D4105A">
        <w:rPr>
          <w:spacing w:val="-6"/>
          <w:sz w:val="26"/>
          <w:szCs w:val="26"/>
        </w:rPr>
        <w:t xml:space="preserve"> – </w:t>
      </w:r>
      <w:r w:rsidR="00AA07C5">
        <w:rPr>
          <w:spacing w:val="-6"/>
          <w:sz w:val="26"/>
          <w:szCs w:val="26"/>
        </w:rPr>
        <w:t>94,4</w:t>
      </w:r>
      <w:r w:rsidRPr="00B56766">
        <w:rPr>
          <w:spacing w:val="-6"/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A24920" w:rsidRDefault="00A24920" w:rsidP="00603A7C">
      <w:pPr>
        <w:pStyle w:val="a8"/>
        <w:spacing w:before="0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>в</w:t>
      </w:r>
      <w:r w:rsidR="006663FB">
        <w:rPr>
          <w:szCs w:val="26"/>
        </w:rPr>
        <w:t xml:space="preserve"> январе</w:t>
      </w:r>
      <w:r>
        <w:rPr>
          <w:szCs w:val="26"/>
        </w:rPr>
        <w:t xml:space="preserve"> 201</w:t>
      </w:r>
      <w:r w:rsidR="002004FC" w:rsidRPr="002004FC">
        <w:rPr>
          <w:szCs w:val="26"/>
        </w:rPr>
        <w:t>9</w:t>
      </w:r>
      <w:r>
        <w:rPr>
          <w:szCs w:val="26"/>
        </w:rPr>
        <w:t> г</w:t>
      </w:r>
      <w:r w:rsidR="001103EF">
        <w:rPr>
          <w:szCs w:val="26"/>
        </w:rPr>
        <w:t>.</w:t>
      </w:r>
      <w:r>
        <w:rPr>
          <w:szCs w:val="26"/>
        </w:rPr>
        <w:t xml:space="preserve">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 w:rsidR="002D66CF">
        <w:rPr>
          <w:szCs w:val="26"/>
        </w:rPr>
        <w:t>1</w:t>
      </w:r>
      <w:r w:rsidR="0075504E">
        <w:rPr>
          <w:szCs w:val="26"/>
        </w:rPr>
        <w:t>,</w:t>
      </w:r>
      <w:r w:rsidR="004D03A5">
        <w:rPr>
          <w:szCs w:val="26"/>
        </w:rPr>
        <w:t>5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t xml:space="preserve"> </w:t>
      </w:r>
      <w:r>
        <w:rPr>
          <w:szCs w:val="26"/>
        </w:rPr>
        <w:t>(</w:t>
      </w:r>
      <w:r w:rsidR="00E6500C">
        <w:rPr>
          <w:szCs w:val="26"/>
        </w:rPr>
        <w:t>108,4</w:t>
      </w:r>
      <w:r w:rsidRPr="001074AF">
        <w:rPr>
          <w:szCs w:val="26"/>
        </w:rPr>
        <w:t>% к уровню</w:t>
      </w:r>
      <w:r w:rsidR="006663FB">
        <w:rPr>
          <w:szCs w:val="26"/>
        </w:rPr>
        <w:t xml:space="preserve"> января</w:t>
      </w:r>
      <w:r>
        <w:rPr>
          <w:szCs w:val="26"/>
        </w:rPr>
        <w:t xml:space="preserve"> </w:t>
      </w:r>
      <w:r w:rsidRPr="001074AF">
        <w:rPr>
          <w:szCs w:val="26"/>
        </w:rPr>
        <w:t>201</w:t>
      </w:r>
      <w:r w:rsidR="00D700FF">
        <w:rPr>
          <w:szCs w:val="26"/>
        </w:rPr>
        <w:t>8</w:t>
      </w:r>
      <w:r>
        <w:rPr>
          <w:szCs w:val="26"/>
        </w:rPr>
        <w:t> </w:t>
      </w:r>
      <w:r w:rsidRPr="001074AF">
        <w:rPr>
          <w:szCs w:val="26"/>
        </w:rPr>
        <w:t>г</w:t>
      </w:r>
      <w:r w:rsidR="006663FB">
        <w:rPr>
          <w:szCs w:val="26"/>
        </w:rPr>
        <w:t>.</w:t>
      </w:r>
      <w:r>
        <w:rPr>
          <w:szCs w:val="26"/>
        </w:rPr>
        <w:t xml:space="preserve">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</w:t>
      </w:r>
      <w:r w:rsidR="00074605">
        <w:rPr>
          <w:szCs w:val="26"/>
        </w:rPr>
        <w:t> </w:t>
      </w:r>
      <w:r w:rsidRPr="00D9265B">
        <w:rPr>
          <w:szCs w:val="26"/>
        </w:rPr>
        <w:t xml:space="preserve"> </w:t>
      </w:r>
      <w:r>
        <w:rPr>
          <w:szCs w:val="26"/>
        </w:rPr>
        <w:t>8</w:t>
      </w:r>
      <w:r w:rsidR="00D700FF">
        <w:rPr>
          <w:szCs w:val="26"/>
        </w:rPr>
        <w:t>4</w:t>
      </w:r>
      <w:r w:rsidR="002D66CF">
        <w:rPr>
          <w:szCs w:val="26"/>
        </w:rPr>
        <w:t>,</w:t>
      </w:r>
      <w:r w:rsidR="00D700FF">
        <w:rPr>
          <w:szCs w:val="26"/>
        </w:rPr>
        <w:t>6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>в</w:t>
      </w:r>
      <w:r w:rsidR="006663FB">
        <w:rPr>
          <w:spacing w:val="-6"/>
          <w:szCs w:val="26"/>
        </w:rPr>
        <w:t xml:space="preserve"> январе </w:t>
      </w:r>
      <w:r>
        <w:rPr>
          <w:spacing w:val="-6"/>
          <w:szCs w:val="26"/>
        </w:rPr>
        <w:t>201</w:t>
      </w:r>
      <w:r w:rsidR="00AA07C5">
        <w:rPr>
          <w:spacing w:val="-6"/>
          <w:szCs w:val="26"/>
        </w:rPr>
        <w:t>8</w:t>
      </w:r>
      <w:r>
        <w:rPr>
          <w:spacing w:val="-6"/>
          <w:szCs w:val="26"/>
        </w:rPr>
        <w:t xml:space="preserve"> г</w:t>
      </w:r>
      <w:r w:rsidR="006663FB">
        <w:rPr>
          <w:spacing w:val="-6"/>
          <w:szCs w:val="26"/>
        </w:rPr>
        <w:t>.</w:t>
      </w:r>
      <w:r>
        <w:rPr>
          <w:spacing w:val="-6"/>
          <w:szCs w:val="26"/>
        </w:rPr>
        <w:t xml:space="preserve"> – </w:t>
      </w:r>
      <w:r w:rsidRPr="002D2D29">
        <w:rPr>
          <w:spacing w:val="-6"/>
          <w:szCs w:val="26"/>
        </w:rPr>
        <w:t>8</w:t>
      </w:r>
      <w:r w:rsidR="00AA07C5">
        <w:rPr>
          <w:spacing w:val="-6"/>
          <w:szCs w:val="26"/>
        </w:rPr>
        <w:t>2</w:t>
      </w:r>
      <w:r w:rsidR="0075504E">
        <w:rPr>
          <w:spacing w:val="-6"/>
          <w:szCs w:val="26"/>
        </w:rPr>
        <w:t>,</w:t>
      </w:r>
      <w:r w:rsidR="00AA07C5">
        <w:rPr>
          <w:spacing w:val="-6"/>
          <w:szCs w:val="26"/>
        </w:rPr>
        <w:t>3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9B32D5" w:rsidRPr="00603A7C" w:rsidRDefault="009B32D5" w:rsidP="002365CD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p w:rsidR="002365CD" w:rsidRPr="000260DB" w:rsidRDefault="002365CD" w:rsidP="002365CD">
      <w:pPr>
        <w:pStyle w:val="a8"/>
        <w:spacing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Pr="000260DB">
        <w:rPr>
          <w:rFonts w:ascii="Arial" w:hAnsi="Arial" w:cs="Arial"/>
          <w:b/>
          <w:bCs/>
        </w:rPr>
        <w:t>.</w:t>
      </w:r>
      <w:r w:rsidRPr="00DA7C1B">
        <w:rPr>
          <w:rFonts w:ascii="Arial" w:hAnsi="Arial" w:cs="Arial"/>
          <w:b/>
          <w:bCs/>
        </w:rPr>
        <w:t>4</w:t>
      </w:r>
      <w:r w:rsidR="00DC2068" w:rsidRPr="00DC2068">
        <w:rPr>
          <w:rFonts w:ascii="Arial" w:hAnsi="Arial" w:cs="Arial"/>
          <w:b/>
          <w:bCs/>
        </w:rPr>
        <w:t>.</w:t>
      </w:r>
      <w:r w:rsidRPr="000260DB">
        <w:rPr>
          <w:rFonts w:ascii="Arial" w:hAnsi="Arial" w:cs="Arial"/>
          <w:b/>
          <w:bCs/>
        </w:rPr>
        <w:t xml:space="preserve"> </w:t>
      </w:r>
      <w:proofErr w:type="gramStart"/>
      <w:r w:rsidRPr="000260DB">
        <w:rPr>
          <w:rFonts w:ascii="Arial" w:hAnsi="Arial" w:cs="Arial"/>
          <w:b/>
          <w:bCs/>
        </w:rPr>
        <w:t>Финансовые результаты деятельности</w:t>
      </w:r>
      <w:r w:rsidRPr="000260DB"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b/>
          <w:bCs/>
        </w:rPr>
        <w:footnoteReference w:id="2"/>
      </w:r>
      <w:r w:rsidR="00E6500C" w:rsidRPr="00E6500C"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2365CD" w:rsidRPr="000260DB" w:rsidRDefault="002365CD" w:rsidP="002365CD">
      <w:pPr>
        <w:pStyle w:val="a8"/>
        <w:spacing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260DB"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</w:t>
      </w:r>
      <w:r>
        <w:rPr>
          <w:rFonts w:ascii="Arial" w:hAnsi="Arial" w:cs="Arial"/>
          <w:b/>
          <w:bCs/>
          <w:sz w:val="22"/>
          <w:szCs w:val="22"/>
        </w:rPr>
        <w:t xml:space="preserve">деятельности </w:t>
      </w:r>
      <w:r w:rsidRPr="000260DB">
        <w:rPr>
          <w:rFonts w:ascii="Arial" w:hAnsi="Arial" w:cs="Arial"/>
          <w:b/>
          <w:bCs/>
          <w:sz w:val="22"/>
          <w:szCs w:val="22"/>
        </w:rPr>
        <w:t>организаций торговли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4573"/>
        <w:gridCol w:w="1420"/>
        <w:gridCol w:w="1420"/>
        <w:gridCol w:w="1714"/>
      </w:tblGrid>
      <w:tr w:rsidR="002365CD" w:rsidRPr="001C204E" w:rsidTr="00771812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CD" w:rsidRPr="00E76F13" w:rsidRDefault="002365CD" w:rsidP="00E07C0F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5CD" w:rsidRPr="00E76F13" w:rsidRDefault="002365CD" w:rsidP="00E07C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2017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365CD" w:rsidRPr="00E76F13" w:rsidRDefault="002365CD" w:rsidP="00E07C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2018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5CD" w:rsidRPr="00E76F13" w:rsidRDefault="002365CD" w:rsidP="00E07C0F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2018 г. в % к</w:t>
            </w:r>
            <w:r w:rsidRPr="00E76F13">
              <w:rPr>
                <w:sz w:val="22"/>
                <w:szCs w:val="22"/>
              </w:rPr>
              <w:br/>
              <w:t>2017 г.</w:t>
            </w:r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43 785,3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51 186,5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pStyle w:val="append"/>
              <w:spacing w:before="60" w:after="60" w:line="200" w:lineRule="exact"/>
              <w:ind w:left="57"/>
            </w:pPr>
            <w:r w:rsidRPr="00E76F13"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36 720,2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43 049,3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Прибыль, убыток</w:t>
            </w:r>
            <w:proofErr w:type="gramStart"/>
            <w:r w:rsidRPr="00E76F13">
              <w:rPr>
                <w:sz w:val="22"/>
                <w:szCs w:val="22"/>
              </w:rPr>
              <w:t xml:space="preserve"> (-) </w:t>
            </w:r>
            <w:proofErr w:type="gramEnd"/>
            <w:r w:rsidRPr="00E76F1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1 261,8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1 367,9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Прибыль, убыток</w:t>
            </w:r>
            <w:proofErr w:type="gramStart"/>
            <w:r w:rsidRPr="00E76F13">
              <w:rPr>
                <w:sz w:val="22"/>
                <w:szCs w:val="22"/>
              </w:rPr>
              <w:t xml:space="preserve"> (-) </w:t>
            </w:r>
            <w:proofErr w:type="gramEnd"/>
            <w:r w:rsidRPr="00E76F13">
              <w:rPr>
                <w:sz w:val="22"/>
                <w:szCs w:val="22"/>
              </w:rPr>
              <w:t xml:space="preserve">до налогообложения, </w:t>
            </w:r>
            <w:r w:rsidRPr="00E76F1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894,1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E76F13">
              <w:rPr>
                <w:sz w:val="22"/>
                <w:szCs w:val="22"/>
              </w:rPr>
              <w:t xml:space="preserve"> (-), </w:t>
            </w:r>
            <w:proofErr w:type="gramEnd"/>
            <w:r w:rsidRPr="00E76F13">
              <w:rPr>
                <w:sz w:val="22"/>
                <w:szCs w:val="22"/>
              </w:rPr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656,5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2365CD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76F13">
              <w:rPr>
                <w:sz w:val="22"/>
                <w:szCs w:val="22"/>
              </w:rPr>
              <w:t>697,</w:t>
            </w:r>
            <w:r w:rsidRPr="00E76F1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2365CD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 w:rsidRPr="00E76F13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pStyle w:val="20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2365CD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 w:rsidRPr="00E76F13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pStyle w:val="20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pStyle w:val="20"/>
              <w:spacing w:before="60" w:after="60" w:line="200" w:lineRule="exact"/>
              <w:ind w:left="57" w:right="57" w:firstLine="0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E76F1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16,3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2365CD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proofErr w:type="spellStart"/>
            <w:r w:rsidRPr="00E76F13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129,4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220,1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170,1</w:t>
            </w:r>
          </w:p>
        </w:tc>
      </w:tr>
      <w:tr w:rsidR="002365CD" w:rsidRPr="001C204E" w:rsidTr="00771812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365CD" w:rsidRPr="00E76F13" w:rsidRDefault="002365CD" w:rsidP="006675C7">
            <w:pPr>
              <w:pStyle w:val="append"/>
              <w:spacing w:before="60" w:after="60" w:line="200" w:lineRule="exact"/>
              <w:ind w:left="57"/>
            </w:pPr>
            <w:r w:rsidRPr="00E76F13"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CD" w:rsidRPr="00E76F13" w:rsidRDefault="002365CD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1</w:t>
            </w:r>
            <w:r w:rsidR="00E76F13">
              <w:rPr>
                <w:sz w:val="22"/>
                <w:szCs w:val="22"/>
              </w:rPr>
              <w:t> 078,3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CD" w:rsidRPr="00E76F13" w:rsidRDefault="002365CD" w:rsidP="006675C7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E76F13">
              <w:rPr>
                <w:sz w:val="22"/>
                <w:szCs w:val="22"/>
              </w:rPr>
              <w:t>1</w:t>
            </w:r>
            <w:r w:rsidR="00E76F13">
              <w:rPr>
                <w:sz w:val="22"/>
                <w:szCs w:val="22"/>
              </w:rPr>
              <w:t> 476,9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CD" w:rsidRPr="00E76F13" w:rsidRDefault="00E76F13" w:rsidP="006675C7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137,0</w:t>
            </w:r>
          </w:p>
        </w:tc>
      </w:tr>
    </w:tbl>
    <w:p w:rsidR="002365CD" w:rsidRPr="00F6395D" w:rsidRDefault="002365CD" w:rsidP="0058723E">
      <w:pPr>
        <w:pStyle w:val="a8"/>
        <w:spacing w:before="240" w:after="12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F6395D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F6395D"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42" w:type="pct"/>
        <w:jc w:val="center"/>
        <w:tblInd w:w="108" w:type="dxa"/>
        <w:tblLook w:val="04A0"/>
      </w:tblPr>
      <w:tblGrid>
        <w:gridCol w:w="4819"/>
        <w:gridCol w:w="1327"/>
        <w:gridCol w:w="1478"/>
        <w:gridCol w:w="1555"/>
      </w:tblGrid>
      <w:tr w:rsidR="002365CD" w:rsidRPr="001C204E" w:rsidTr="00771812">
        <w:trPr>
          <w:cantSplit/>
          <w:trHeight w:val="64"/>
          <w:tblHeader/>
          <w:jc w:val="center"/>
        </w:trPr>
        <w:tc>
          <w:tcPr>
            <w:tcW w:w="26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5CD" w:rsidRPr="002004FC" w:rsidRDefault="002365CD" w:rsidP="00E07C0F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5CD" w:rsidRPr="002004FC" w:rsidRDefault="002365CD" w:rsidP="00E07C0F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На 1 января</w:t>
            </w:r>
            <w:r w:rsidRPr="002004FC">
              <w:rPr>
                <w:sz w:val="22"/>
                <w:szCs w:val="22"/>
              </w:rPr>
              <w:br/>
              <w:t>201</w:t>
            </w:r>
            <w:r w:rsidRPr="002004FC">
              <w:rPr>
                <w:sz w:val="22"/>
                <w:szCs w:val="22"/>
                <w:lang w:val="en-US"/>
              </w:rPr>
              <w:t>9</w:t>
            </w:r>
            <w:r w:rsidRPr="002004F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65CD" w:rsidRPr="002004FC" w:rsidRDefault="002365CD" w:rsidP="00E07C0F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В % к</w:t>
            </w:r>
          </w:p>
        </w:tc>
      </w:tr>
      <w:tr w:rsidR="002365CD" w:rsidRPr="001C204E" w:rsidTr="00771812">
        <w:trPr>
          <w:cantSplit/>
          <w:trHeight w:val="120"/>
          <w:tblHeader/>
          <w:jc w:val="center"/>
        </w:trPr>
        <w:tc>
          <w:tcPr>
            <w:tcW w:w="26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5CD" w:rsidRPr="002004FC" w:rsidRDefault="002365CD" w:rsidP="00E07C0F">
            <w:pPr>
              <w:rPr>
                <w:sz w:val="22"/>
                <w:szCs w:val="22"/>
              </w:rPr>
            </w:pP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65CD" w:rsidRPr="002004FC" w:rsidRDefault="002365CD" w:rsidP="00E07C0F">
            <w:pPr>
              <w:rPr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1 января </w:t>
            </w:r>
            <w:r w:rsidRPr="002004FC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 декабря</w:t>
            </w:r>
            <w:r w:rsidRPr="002004FC">
              <w:rPr>
                <w:sz w:val="22"/>
                <w:szCs w:val="22"/>
              </w:rPr>
              <w:br/>
              <w:t>2018 г.</w:t>
            </w:r>
          </w:p>
        </w:tc>
      </w:tr>
      <w:tr w:rsidR="002365CD" w:rsidRPr="001C204E" w:rsidTr="00771812">
        <w:trPr>
          <w:trHeight w:val="64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15</w:t>
            </w:r>
            <w:r w:rsidR="00E76F13" w:rsidRPr="002004FC">
              <w:rPr>
                <w:sz w:val="22"/>
                <w:szCs w:val="22"/>
              </w:rPr>
              <w:t> </w:t>
            </w:r>
            <w:r w:rsidRPr="002004FC">
              <w:rPr>
                <w:b/>
                <w:bCs/>
                <w:sz w:val="22"/>
                <w:szCs w:val="22"/>
              </w:rPr>
              <w:t>196,5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104,4</w:t>
            </w:r>
          </w:p>
        </w:tc>
      </w:tr>
      <w:tr w:rsidR="002365CD" w:rsidRPr="001C204E" w:rsidTr="00771812">
        <w:trPr>
          <w:cantSplit/>
          <w:trHeight w:val="232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из нее </w:t>
            </w:r>
            <w:proofErr w:type="gramStart"/>
            <w:r w:rsidRPr="002004FC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</w:t>
            </w:r>
            <w:r w:rsidR="00E76F13" w:rsidRPr="002004FC">
              <w:rPr>
                <w:sz w:val="22"/>
                <w:szCs w:val="22"/>
              </w:rPr>
              <w:t> </w:t>
            </w:r>
            <w:r w:rsidRPr="002004FC">
              <w:rPr>
                <w:sz w:val="22"/>
                <w:szCs w:val="22"/>
              </w:rPr>
              <w:t>072,8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104,6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102,5</w:t>
            </w:r>
          </w:p>
        </w:tc>
      </w:tr>
      <w:tr w:rsidR="002365CD" w:rsidRPr="001C204E" w:rsidTr="00771812">
        <w:trPr>
          <w:cantSplit/>
          <w:trHeight w:val="70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7,1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 w:rsidRPr="002004FC">
              <w:rPr>
                <w:sz w:val="22"/>
                <w:szCs w:val="22"/>
              </w:rPr>
              <w:t>x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proofErr w:type="spellStart"/>
            <w:r w:rsidRPr="002004FC">
              <w:rPr>
                <w:sz w:val="22"/>
                <w:szCs w:val="22"/>
              </w:rPr>
              <w:t>x</w:t>
            </w:r>
            <w:proofErr w:type="spellEnd"/>
          </w:p>
        </w:tc>
      </w:tr>
      <w:tr w:rsidR="002365CD" w:rsidRPr="001C204E" w:rsidTr="00771812">
        <w:trPr>
          <w:cantSplit/>
          <w:trHeight w:val="232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2004FC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29,7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trHeight w:val="138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004FC">
              <w:rPr>
                <w:bCs/>
                <w:i/>
                <w:iCs/>
                <w:sz w:val="22"/>
                <w:szCs w:val="22"/>
              </w:rPr>
              <w:t>Справочно</w:t>
            </w:r>
            <w:proofErr w:type="spellEnd"/>
            <w:r w:rsidRPr="002004FC">
              <w:rPr>
                <w:bCs/>
                <w:i/>
                <w:iCs/>
                <w:sz w:val="22"/>
                <w:szCs w:val="22"/>
              </w:rPr>
              <w:t>: на 1 января 2018</w:t>
            </w:r>
            <w:r w:rsidR="00C75068">
              <w:rPr>
                <w:bCs/>
                <w:i/>
                <w:iCs/>
                <w:sz w:val="22"/>
                <w:szCs w:val="22"/>
                <w:lang w:val="en-US"/>
              </w:rPr>
              <w:t xml:space="preserve"> </w:t>
            </w:r>
            <w:r w:rsidRPr="002004FC"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004FC">
              <w:rPr>
                <w:bCs/>
                <w:i/>
                <w:iCs/>
                <w:sz w:val="22"/>
                <w:szCs w:val="22"/>
              </w:rPr>
              <w:t>32,6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004FC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proofErr w:type="spellStart"/>
            <w:r w:rsidRPr="002004FC">
              <w:rPr>
                <w:bCs/>
                <w:i/>
                <w:iCs/>
                <w:sz w:val="22"/>
                <w:szCs w:val="22"/>
              </w:rPr>
              <w:t>х</w:t>
            </w:r>
            <w:proofErr w:type="spellEnd"/>
          </w:p>
        </w:tc>
      </w:tr>
      <w:tr w:rsidR="002365CD" w:rsidRPr="00DC4314" w:rsidTr="00771812">
        <w:trPr>
          <w:trHeight w:val="138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 w:rsidRPr="002004FC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004FC">
              <w:rPr>
                <w:b/>
                <w:bCs/>
                <w:i/>
                <w:iCs/>
                <w:sz w:val="22"/>
                <w:szCs w:val="22"/>
              </w:rPr>
              <w:t>8</w:t>
            </w:r>
            <w:r w:rsidR="00E76F13" w:rsidRPr="002004FC">
              <w:rPr>
                <w:sz w:val="22"/>
                <w:szCs w:val="22"/>
              </w:rPr>
              <w:t> </w:t>
            </w:r>
            <w:r w:rsidRPr="002004FC">
              <w:rPr>
                <w:b/>
                <w:bCs/>
                <w:i/>
                <w:iCs/>
                <w:sz w:val="22"/>
                <w:szCs w:val="22"/>
              </w:rPr>
              <w:t>859,5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004FC">
              <w:rPr>
                <w:b/>
                <w:bCs/>
                <w:i/>
                <w:iCs/>
                <w:sz w:val="22"/>
                <w:szCs w:val="22"/>
              </w:rPr>
              <w:t>108,0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004FC">
              <w:rPr>
                <w:b/>
                <w:bCs/>
                <w:i/>
                <w:iCs/>
                <w:sz w:val="22"/>
                <w:szCs w:val="22"/>
              </w:rPr>
              <w:t>105,6</w:t>
            </w:r>
          </w:p>
        </w:tc>
      </w:tr>
      <w:tr w:rsidR="002365CD" w:rsidRPr="00DC4314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из нее: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2365CD" w:rsidRPr="00DC4314" w:rsidTr="00771812">
        <w:trPr>
          <w:trHeight w:val="372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392,8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105,6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98,6</w:t>
            </w:r>
          </w:p>
        </w:tc>
      </w:tr>
      <w:tr w:rsidR="002365CD" w:rsidRPr="00DC4314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4,4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DC4314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328,9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191,7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116,2</w:t>
            </w:r>
          </w:p>
        </w:tc>
      </w:tr>
      <w:tr w:rsidR="002365CD" w:rsidRPr="00DC4314" w:rsidTr="00771812">
        <w:trPr>
          <w:trHeight w:val="181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3,7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DC4314" w:rsidTr="00771812">
        <w:trPr>
          <w:cantSplit/>
          <w:trHeight w:val="345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E07C0F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</w:t>
            </w:r>
            <w:r w:rsidR="0058723E">
              <w:rPr>
                <w:sz w:val="22"/>
                <w:szCs w:val="22"/>
              </w:rPr>
              <w:t xml:space="preserve"> вес кредиторской задолженности</w:t>
            </w:r>
            <w:r w:rsidR="0058723E">
              <w:rPr>
                <w:sz w:val="22"/>
                <w:szCs w:val="22"/>
              </w:rPr>
              <w:br/>
            </w:r>
            <w:r w:rsidRPr="002004FC">
              <w:rPr>
                <w:sz w:val="22"/>
                <w:szCs w:val="22"/>
              </w:rPr>
              <w:t>в общей суммарной задолженности, %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771812">
            <w:pPr>
              <w:spacing w:before="50" w:after="50" w:line="200" w:lineRule="exact"/>
              <w:ind w:right="17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58,3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E07C0F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DC4314" w:rsidTr="00771812">
        <w:trPr>
          <w:cantSplit/>
          <w:trHeight w:val="80"/>
          <w:jc w:val="center"/>
        </w:trPr>
        <w:tc>
          <w:tcPr>
            <w:tcW w:w="2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="00C75068" w:rsidRPr="00C75068">
              <w:rPr>
                <w:sz w:val="22"/>
                <w:szCs w:val="22"/>
              </w:rPr>
              <w:br/>
            </w:r>
            <w:r w:rsidRPr="002004FC">
              <w:rPr>
                <w:sz w:val="22"/>
                <w:szCs w:val="22"/>
              </w:rPr>
              <w:t>млн. руб.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712,5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96,0</w:t>
            </w: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104,3</w:t>
            </w:r>
          </w:p>
        </w:tc>
      </w:tr>
      <w:tr w:rsidR="002365CD" w:rsidRPr="00DC4314" w:rsidTr="00771812">
        <w:trPr>
          <w:trHeight w:val="80"/>
          <w:jc w:val="center"/>
        </w:trPr>
        <w:tc>
          <w:tcPr>
            <w:tcW w:w="262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72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из нее: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80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8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72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1,4</w:t>
            </w:r>
          </w:p>
        </w:tc>
        <w:tc>
          <w:tcPr>
            <w:tcW w:w="80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34,8</w:t>
            </w:r>
          </w:p>
        </w:tc>
        <w:tc>
          <w:tcPr>
            <w:tcW w:w="8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76,9</w:t>
            </w:r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0,2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113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14,9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148,6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151,2</w:t>
            </w:r>
          </w:p>
        </w:tc>
      </w:tr>
      <w:tr w:rsidR="002365CD" w:rsidRPr="001C204E" w:rsidTr="00771812">
        <w:trPr>
          <w:trHeight w:val="70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2,1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8,0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66,4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2004FC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2</w:t>
            </w:r>
            <w:r w:rsidR="00E76F13" w:rsidRPr="002004FC">
              <w:rPr>
                <w:sz w:val="22"/>
                <w:szCs w:val="22"/>
              </w:rPr>
              <w:t> </w:t>
            </w:r>
            <w:r w:rsidRPr="002004FC">
              <w:rPr>
                <w:sz w:val="22"/>
                <w:szCs w:val="22"/>
              </w:rPr>
              <w:t>031,4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105,4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104,5</w:t>
            </w:r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22,9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117,1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93,5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103,6</w:t>
            </w:r>
          </w:p>
        </w:tc>
      </w:tr>
      <w:tr w:rsidR="002365CD" w:rsidRPr="001C204E" w:rsidTr="00771812">
        <w:trPr>
          <w:cantSplit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16,4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cantSplit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2004FC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5,8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6675C7" w:rsidRDefault="002365CD" w:rsidP="00AA6E3A">
            <w:pPr>
              <w:spacing w:before="50" w:after="5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 w:rsidRPr="006675C7">
              <w:rPr>
                <w:b/>
                <w:bCs/>
                <w:i/>
                <w:iCs/>
                <w:spacing w:val="-4"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004FC">
              <w:rPr>
                <w:b/>
                <w:bCs/>
                <w:i/>
                <w:iCs/>
                <w:sz w:val="22"/>
                <w:szCs w:val="22"/>
              </w:rPr>
              <w:t>6</w:t>
            </w:r>
            <w:r w:rsidR="00E76F13" w:rsidRPr="002004FC">
              <w:rPr>
                <w:sz w:val="22"/>
                <w:szCs w:val="22"/>
              </w:rPr>
              <w:t> </w:t>
            </w:r>
            <w:r w:rsidRPr="002004FC">
              <w:rPr>
                <w:b/>
                <w:bCs/>
                <w:i/>
                <w:iCs/>
                <w:sz w:val="22"/>
                <w:szCs w:val="22"/>
              </w:rPr>
              <w:t>337,0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004FC">
              <w:rPr>
                <w:b/>
                <w:bCs/>
                <w:i/>
                <w:iCs/>
                <w:sz w:val="22"/>
                <w:szCs w:val="22"/>
              </w:rPr>
              <w:t>107,0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2004FC"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41,7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2004FC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360,3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126,8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99,0</w:t>
            </w:r>
          </w:p>
        </w:tc>
      </w:tr>
      <w:tr w:rsidR="002365CD" w:rsidRPr="001C204E" w:rsidTr="00771812">
        <w:trPr>
          <w:cantSplit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задолженности по кредитам </w:t>
            </w:r>
            <w:r w:rsidRPr="002004FC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5,7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cantSplit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33,6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trHeight w:val="81"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6</w:t>
            </w:r>
            <w:r w:rsidR="00E76F13" w:rsidRPr="002004FC">
              <w:rPr>
                <w:sz w:val="22"/>
                <w:szCs w:val="22"/>
              </w:rPr>
              <w:t> </w:t>
            </w:r>
            <w:r w:rsidRPr="002004FC">
              <w:rPr>
                <w:b/>
                <w:bCs/>
                <w:sz w:val="22"/>
                <w:szCs w:val="22"/>
              </w:rPr>
              <w:t>331,8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115,1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2004FC">
              <w:rPr>
                <w:b/>
                <w:bCs/>
                <w:sz w:val="22"/>
                <w:szCs w:val="22"/>
              </w:rPr>
              <w:t>102,8</w:t>
            </w:r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60"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 xml:space="preserve">из нее </w:t>
            </w:r>
            <w:proofErr w:type="gramStart"/>
            <w:r w:rsidRPr="002004FC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1 496,1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118,2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97,7</w:t>
            </w:r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pStyle w:val="append"/>
              <w:spacing w:before="50" w:after="50" w:line="200" w:lineRule="exact"/>
              <w:ind w:right="57"/>
            </w:pPr>
            <w:r w:rsidRPr="002004FC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23,6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pStyle w:val="append"/>
              <w:spacing w:before="50" w:after="50" w:line="200" w:lineRule="exact"/>
              <w:ind w:right="57"/>
            </w:pPr>
            <w:r w:rsidRPr="002004FC">
              <w:t xml:space="preserve">Внешняя дебиторская задолженность, </w:t>
            </w:r>
            <w:r w:rsidRPr="002004FC">
              <w:br/>
              <w:t>млн. руб.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985,5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124,6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104,8</w:t>
            </w:r>
          </w:p>
        </w:tc>
      </w:tr>
      <w:tr w:rsidR="002365CD" w:rsidRPr="001C204E" w:rsidTr="00771812">
        <w:trPr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15,6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cantSplit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23,0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91,6</w:t>
            </w:r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94,4</w:t>
            </w:r>
          </w:p>
        </w:tc>
      </w:tr>
      <w:tr w:rsidR="002365CD" w:rsidRPr="001C204E" w:rsidTr="00771812">
        <w:trPr>
          <w:cantSplit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 w:rsidRPr="002004FC">
              <w:rPr>
                <w:sz w:val="22"/>
                <w:szCs w:val="22"/>
              </w:rPr>
              <w:t>в</w:t>
            </w:r>
            <w:proofErr w:type="gramEnd"/>
            <w:r w:rsidRPr="002004FC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1,5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  <w:tr w:rsidR="002365CD" w:rsidRPr="001C204E" w:rsidTr="00771812">
        <w:trPr>
          <w:cantSplit/>
          <w:jc w:val="center"/>
        </w:trPr>
        <w:tc>
          <w:tcPr>
            <w:tcW w:w="26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365CD" w:rsidRPr="002004FC" w:rsidRDefault="002365CD" w:rsidP="00AA6E3A">
            <w:pPr>
              <w:spacing w:before="50" w:after="50" w:line="200" w:lineRule="exact"/>
              <w:ind w:right="57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2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2,3</w:t>
            </w: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  <w:tc>
          <w:tcPr>
            <w:tcW w:w="8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365CD" w:rsidRPr="002004FC" w:rsidRDefault="002365CD" w:rsidP="00AA6E3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 w:rsidRPr="002004FC">
              <w:rPr>
                <w:sz w:val="22"/>
                <w:szCs w:val="22"/>
              </w:rPr>
              <w:t> </w:t>
            </w:r>
            <w:proofErr w:type="spellStart"/>
            <w:r w:rsidRPr="002004FC">
              <w:rPr>
                <w:sz w:val="22"/>
                <w:szCs w:val="22"/>
              </w:rPr>
              <w:t>х</w:t>
            </w:r>
            <w:proofErr w:type="spellEnd"/>
          </w:p>
        </w:tc>
      </w:tr>
    </w:tbl>
    <w:p w:rsidR="00134064" w:rsidRDefault="004B69B5" w:rsidP="00BF765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Pr="005B4FE0">
        <w:rPr>
          <w:rFonts w:ascii="Arial" w:hAnsi="Arial" w:cs="Arial"/>
          <w:b/>
        </w:rPr>
        <w:t>5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603A7C">
      <w:pPr>
        <w:pStyle w:val="a8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A477D">
        <w:rPr>
          <w:szCs w:val="26"/>
        </w:rPr>
        <w:t xml:space="preserve">январе </w:t>
      </w:r>
      <w:r w:rsidRPr="00D90E27">
        <w:rPr>
          <w:szCs w:val="26"/>
        </w:rPr>
        <w:t>201</w:t>
      </w:r>
      <w:r w:rsidR="006A222D">
        <w:rPr>
          <w:szCs w:val="26"/>
        </w:rPr>
        <w:t>9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F30754">
        <w:rPr>
          <w:szCs w:val="26"/>
        </w:rPr>
        <w:t>200,5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461B91">
        <w:rPr>
          <w:szCs w:val="26"/>
        </w:rPr>
        <w:t>н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F30754">
        <w:rPr>
          <w:szCs w:val="26"/>
        </w:rPr>
        <w:t>101,1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января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201</w:t>
      </w:r>
      <w:r w:rsidR="006A222D">
        <w:rPr>
          <w:szCs w:val="26"/>
        </w:rPr>
        <w:t>8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BA413F" w:rsidRDefault="00BA413F" w:rsidP="00603A7C">
      <w:pPr>
        <w:pStyle w:val="a8"/>
        <w:spacing w:before="240" w:after="120" w:line="240" w:lineRule="auto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268"/>
        <w:gridCol w:w="2178"/>
        <w:gridCol w:w="2313"/>
        <w:gridCol w:w="2313"/>
      </w:tblGrid>
      <w:tr w:rsidR="002C7FD8" w:rsidTr="00C2174F">
        <w:trPr>
          <w:cantSplit/>
          <w:tblHeader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2C7FD8" w:rsidTr="00C2174F">
        <w:trPr>
          <w:cantSplit/>
          <w:trHeight w:val="826"/>
          <w:tblHeader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FD8" w:rsidRDefault="002C7FD8" w:rsidP="00BF765A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 w:rsidR="00BF3467">
              <w:rPr>
                <w:sz w:val="22"/>
              </w:rPr>
              <w:br/>
            </w:r>
            <w:r>
              <w:rPr>
                <w:sz w:val="22"/>
              </w:rPr>
              <w:t>периоду</w:t>
            </w:r>
          </w:p>
        </w:tc>
      </w:tr>
      <w:tr w:rsidR="0052741C" w:rsidRPr="00AF2162" w:rsidTr="00C2174F">
        <w:trPr>
          <w:trHeight w:val="8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7C511A" w:rsidRDefault="0052741C" w:rsidP="00603A7C">
            <w:pPr>
              <w:spacing w:before="140" w:after="14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 w:rsidR="006A222D">
              <w:rPr>
                <w:b/>
                <w:sz w:val="22"/>
              </w:rPr>
              <w:t>8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741C" w:rsidRPr="002C7FD8" w:rsidRDefault="0052741C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43033" w:rsidRPr="00451209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43033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  <w:i/>
              </w:rPr>
            </w:pPr>
            <w:r w:rsidRPr="00F43033">
              <w:rPr>
                <w:b w:val="0"/>
                <w:i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i/>
                <w:sz w:val="22"/>
              </w:rPr>
            </w:pPr>
            <w:r w:rsidRPr="00F43033">
              <w:rPr>
                <w:i/>
                <w:sz w:val="22"/>
              </w:rPr>
              <w:t>176,5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i/>
                <w:sz w:val="22"/>
              </w:rPr>
            </w:pPr>
            <w:r w:rsidRPr="00F43033">
              <w:rPr>
                <w:i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i/>
                <w:sz w:val="22"/>
              </w:rPr>
            </w:pPr>
            <w:r w:rsidRPr="00F43033">
              <w:rPr>
                <w:i/>
                <w:sz w:val="22"/>
              </w:rPr>
              <w:t>86,0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3467" w:rsidRDefault="00F43033" w:rsidP="00603A7C">
            <w:pPr>
              <w:pStyle w:val="8"/>
              <w:keepNext w:val="0"/>
              <w:spacing w:before="140" w:after="14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177,4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114,6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 w:rsidRPr="000F1FD6">
              <w:rPr>
                <w:sz w:val="22"/>
              </w:rPr>
              <w:t>100,3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F1FD6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108,7</w:t>
            </w:r>
          </w:p>
        </w:tc>
      </w:tr>
      <w:tr w:rsidR="00F43033" w:rsidRPr="00A44A07" w:rsidTr="00210C2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603A7C">
            <w:pPr>
              <w:pStyle w:val="8"/>
              <w:keepNext w:val="0"/>
              <w:spacing w:before="140" w:after="140"/>
              <w:ind w:left="170"/>
            </w:pPr>
            <w:r w:rsidRPr="00ED1045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548,7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112,4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ED1045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ED1045">
              <w:rPr>
                <w:b/>
                <w:sz w:val="22"/>
              </w:rPr>
              <w:t>94,9</w:t>
            </w:r>
          </w:p>
        </w:tc>
      </w:tr>
      <w:tr w:rsidR="00F43033" w:rsidRPr="00A44A07" w:rsidTr="00BF3467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</w:tr>
      <w:tr w:rsidR="00F43033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211,1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115,3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BF64F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</w:tr>
      <w:tr w:rsidR="00F43033" w:rsidRPr="00A44A07" w:rsidTr="002D6650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Июнь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199,1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92,0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13943" w:rsidRDefault="00F43033" w:rsidP="00603A7C">
            <w:pPr>
              <w:pStyle w:val="8"/>
              <w:keepNext w:val="0"/>
              <w:spacing w:before="140" w:after="14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proofErr w:type="spellStart"/>
            <w:r>
              <w:rPr>
                <w:bCs/>
                <w:lang w:val="en-US"/>
              </w:rPr>
              <w:t>I</w:t>
            </w:r>
            <w:proofErr w:type="spellEnd"/>
            <w:r w:rsidRPr="00F13943">
              <w:rPr>
                <w:bCs/>
              </w:rPr>
              <w:t xml:space="preserve">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60</w:t>
            </w:r>
            <w:r>
              <w:rPr>
                <w:b/>
                <w:sz w:val="22"/>
              </w:rPr>
              <w:t>5,6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114,0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F37ABC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F37ABC">
              <w:rPr>
                <w:b/>
                <w:sz w:val="22"/>
              </w:rPr>
              <w:t>107,4</w:t>
            </w:r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603A7C">
            <w:pPr>
              <w:pStyle w:val="8"/>
              <w:keepNext w:val="0"/>
              <w:spacing w:before="140" w:after="140"/>
              <w:ind w:left="170"/>
              <w:rPr>
                <w:b w:val="0"/>
                <w:bCs/>
                <w:i/>
              </w:rPr>
            </w:pPr>
            <w:r w:rsidRPr="00076AD3">
              <w:rPr>
                <w:b w:val="0"/>
                <w:bCs/>
                <w:i/>
                <w:lang w:val="en-US"/>
              </w:rPr>
              <w:t xml:space="preserve">I </w:t>
            </w:r>
            <w:proofErr w:type="spellStart"/>
            <w:r w:rsidRPr="00076AD3">
              <w:rPr>
                <w:b w:val="0"/>
                <w:bCs/>
                <w:i/>
                <w:lang w:val="en-US"/>
              </w:rPr>
              <w:t>полугодие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1</w:t>
            </w:r>
            <w:r>
              <w:rPr>
                <w:i/>
                <w:sz w:val="22"/>
              </w:rPr>
              <w:t> </w:t>
            </w:r>
            <w:r w:rsidRPr="00076AD3">
              <w:rPr>
                <w:i/>
                <w:sz w:val="22"/>
              </w:rPr>
              <w:t>15</w:t>
            </w:r>
            <w:r>
              <w:rPr>
                <w:i/>
                <w:sz w:val="22"/>
              </w:rPr>
              <w:t>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i/>
                <w:sz w:val="22"/>
              </w:rPr>
            </w:pPr>
            <w:r w:rsidRPr="00076AD3">
              <w:rPr>
                <w:i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076AD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 w:rsidRPr="00076AD3">
              <w:rPr>
                <w:i/>
                <w:sz w:val="22"/>
              </w:rPr>
              <w:t>х</w:t>
            </w:r>
            <w:proofErr w:type="spellEnd"/>
          </w:p>
        </w:tc>
      </w:tr>
      <w:tr w:rsidR="00F43033" w:rsidRPr="00A44A07" w:rsidTr="00BF765A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6A20FA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190,6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 w:rsidRPr="009500C4">
              <w:rPr>
                <w:sz w:val="22"/>
              </w:rPr>
              <w:t>94,7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195,1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9500C4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103,7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215,2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103,6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110,3</w:t>
            </w:r>
          </w:p>
        </w:tc>
      </w:tr>
      <w:tr w:rsidR="00F43033" w:rsidRPr="00074480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pStyle w:val="8"/>
              <w:keepNext w:val="0"/>
              <w:spacing w:before="140" w:after="140"/>
              <w:ind w:left="170"/>
              <w:rPr>
                <w:b w:val="0"/>
              </w:rPr>
            </w:pPr>
            <w:r w:rsidRPr="005B6DC9">
              <w:t>III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A2529B">
              <w:rPr>
                <w:b/>
                <w:sz w:val="22"/>
              </w:rPr>
              <w:t>600,9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A2529B">
              <w:rPr>
                <w:b/>
                <w:sz w:val="22"/>
              </w:rPr>
              <w:t>107,6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A2529B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A2529B">
              <w:rPr>
                <w:b/>
                <w:sz w:val="22"/>
              </w:rPr>
              <w:t>98,1</w:t>
            </w:r>
          </w:p>
        </w:tc>
      </w:tr>
      <w:tr w:rsidR="00F43033" w:rsidRPr="00A44A07" w:rsidTr="00C2174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603A7C">
            <w:pPr>
              <w:pStyle w:val="8"/>
              <w:keepNext w:val="0"/>
              <w:spacing w:before="140" w:after="140"/>
              <w:ind w:left="170"/>
              <w:rPr>
                <w:b w:val="0"/>
              </w:rPr>
            </w:pPr>
            <w:r w:rsidRPr="003A48E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1 755,2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i/>
                <w:sz w:val="22"/>
              </w:rPr>
            </w:pPr>
            <w:r w:rsidRPr="003A48E9">
              <w:rPr>
                <w:i/>
                <w:sz w:val="22"/>
              </w:rPr>
              <w:t>111,3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48E9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i/>
                <w:sz w:val="22"/>
              </w:rPr>
            </w:pPr>
            <w:proofErr w:type="spellStart"/>
            <w:r w:rsidRPr="003A48E9">
              <w:rPr>
                <w:i/>
                <w:sz w:val="22"/>
              </w:rPr>
              <w:t>х</w:t>
            </w:r>
            <w:proofErr w:type="spellEnd"/>
          </w:p>
        </w:tc>
      </w:tr>
      <w:tr w:rsidR="00F43033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785531" w:rsidRDefault="00F43033" w:rsidP="00603A7C">
            <w:pPr>
              <w:pStyle w:val="8"/>
              <w:keepNext w:val="0"/>
              <w:spacing w:before="140" w:after="14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 w:rsidRPr="008B0437">
              <w:rPr>
                <w:sz w:val="22"/>
              </w:rPr>
              <w:t>217,1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 w:rsidRPr="008B0437">
              <w:rPr>
                <w:sz w:val="22"/>
              </w:rPr>
              <w:t>107,8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 w:rsidRPr="008B0437">
              <w:rPr>
                <w:sz w:val="22"/>
              </w:rPr>
              <w:t>100,9</w:t>
            </w:r>
          </w:p>
        </w:tc>
      </w:tr>
      <w:tr w:rsidR="00F43033" w:rsidRPr="00A44A07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3A1450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207,2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8B0437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94,5</w:t>
            </w:r>
          </w:p>
        </w:tc>
      </w:tr>
      <w:tr w:rsidR="00F43033" w:rsidRPr="00A3009B" w:rsidTr="005A19F5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B6DC9" w:rsidRDefault="00F43033" w:rsidP="00603A7C">
            <w:pPr>
              <w:pStyle w:val="8"/>
              <w:keepNext w:val="0"/>
              <w:spacing w:before="140" w:after="14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223,7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105,7</w:t>
            </w:r>
          </w:p>
        </w:tc>
      </w:tr>
      <w:tr w:rsidR="00F43033" w:rsidRPr="00A3009B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B6DC9" w:rsidRDefault="00F43033" w:rsidP="00603A7C">
            <w:pPr>
              <w:pStyle w:val="8"/>
              <w:keepNext w:val="0"/>
              <w:spacing w:before="140" w:after="14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155956">
              <w:rPr>
                <w:b/>
                <w:sz w:val="22"/>
              </w:rPr>
              <w:t>648,0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155956">
              <w:rPr>
                <w:b/>
                <w:sz w:val="22"/>
              </w:rPr>
              <w:t>104,2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155956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155956">
              <w:rPr>
                <w:b/>
                <w:sz w:val="22"/>
              </w:rPr>
              <w:t>106,8</w:t>
            </w:r>
          </w:p>
        </w:tc>
      </w:tr>
      <w:tr w:rsidR="00F43033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603A7C">
            <w:pPr>
              <w:pStyle w:val="8"/>
              <w:keepNext w:val="0"/>
              <w:spacing w:before="140" w:after="140"/>
              <w:ind w:left="170"/>
            </w:pPr>
            <w:r w:rsidRPr="0058723E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2 403,2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r w:rsidRPr="0058723E">
              <w:rPr>
                <w:b/>
                <w:sz w:val="22"/>
              </w:rPr>
              <w:t>109,4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58723E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sz w:val="22"/>
              </w:rPr>
            </w:pPr>
            <w:proofErr w:type="spellStart"/>
            <w:r w:rsidRPr="0058723E">
              <w:rPr>
                <w:b/>
                <w:sz w:val="22"/>
              </w:rPr>
              <w:t>х</w:t>
            </w:r>
            <w:proofErr w:type="spellEnd"/>
          </w:p>
        </w:tc>
      </w:tr>
      <w:tr w:rsidR="00F43033" w:rsidRPr="002C7FD8" w:rsidTr="00D56D3F">
        <w:trPr>
          <w:trHeight w:val="95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7C511A" w:rsidRDefault="00F43033" w:rsidP="00603A7C">
            <w:pPr>
              <w:spacing w:before="140" w:after="140" w:line="200" w:lineRule="exact"/>
              <w:ind w:left="567"/>
              <w:rPr>
                <w:b/>
                <w:sz w:val="22"/>
              </w:rPr>
            </w:pPr>
            <w:r w:rsidRPr="007C511A">
              <w:rPr>
                <w:b/>
                <w:sz w:val="22"/>
              </w:rPr>
              <w:t>201</w:t>
            </w:r>
            <w:r>
              <w:rPr>
                <w:b/>
                <w:sz w:val="22"/>
              </w:rPr>
              <w:t>9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43033" w:rsidRPr="002C7FD8" w:rsidRDefault="00F43033" w:rsidP="00603A7C">
            <w:pPr>
              <w:spacing w:before="140" w:after="140" w:line="200" w:lineRule="exact"/>
              <w:ind w:left="284" w:right="709"/>
              <w:jc w:val="right"/>
              <w:rPr>
                <w:sz w:val="22"/>
              </w:rPr>
            </w:pPr>
          </w:p>
        </w:tc>
      </w:tr>
      <w:tr w:rsidR="00F43033" w:rsidRPr="00A44A07" w:rsidTr="00C2174F">
        <w:trPr>
          <w:trHeight w:val="70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033" w:rsidRPr="00BF3467" w:rsidRDefault="00F43033" w:rsidP="00603A7C">
            <w:pPr>
              <w:pStyle w:val="8"/>
              <w:keepNext w:val="0"/>
              <w:spacing w:before="140" w:after="140"/>
              <w:ind w:left="397"/>
              <w:rPr>
                <w:i/>
              </w:rPr>
            </w:pPr>
            <w:r w:rsidRPr="00BF3467">
              <w:rPr>
                <w:i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033" w:rsidRPr="00BF3467" w:rsidRDefault="00F30754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200,5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033" w:rsidRPr="00BF3467" w:rsidRDefault="00F30754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101,1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43033" w:rsidRPr="00BF3467" w:rsidRDefault="00F30754" w:rsidP="00603A7C">
            <w:pPr>
              <w:spacing w:before="140" w:after="14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88,7</w:t>
            </w:r>
          </w:p>
        </w:tc>
      </w:tr>
    </w:tbl>
    <w:p w:rsidR="0051169F" w:rsidRDefault="0051169F" w:rsidP="00603A7C">
      <w:pPr>
        <w:pStyle w:val="a3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 xml:space="preserve">оварооборот общественного питания </w:t>
      </w:r>
    </w:p>
    <w:p w:rsidR="0051169F" w:rsidRPr="00B73E69" w:rsidRDefault="0051169F" w:rsidP="0051169F">
      <w:pPr>
        <w:pStyle w:val="a3"/>
        <w:tabs>
          <w:tab w:val="left" w:pos="708"/>
        </w:tabs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</w:t>
      </w:r>
      <w:r w:rsidRPr="0011072E">
        <w:rPr>
          <w:rFonts w:ascii="Arial" w:hAnsi="Arial" w:cs="Arial"/>
          <w:i/>
          <w:iCs/>
        </w:rPr>
        <w:br/>
        <w:t>в сопоставимых ценах)</w:t>
      </w:r>
      <w:proofErr w:type="gramEnd"/>
    </w:p>
    <w:p w:rsidR="004838A4" w:rsidRPr="00C615BD" w:rsidRDefault="00B06752" w:rsidP="004838A4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Cs/>
          <w:i/>
          <w:iCs/>
        </w:rPr>
      </w:pPr>
      <w:r w:rsidRPr="00B06752">
        <w:rPr>
          <w:noProof/>
        </w:rPr>
        <w:pict>
          <v:group id="_x0000_s2363" style="position:absolute;left:0;text-align:left;margin-left:143.6pt;margin-top:122.95pt;width:332.7pt;height:20.6pt;z-index:251795456" coordorigin="5049,14843" coordsize="5508,498">
            <v:rect id="_x0000_s2364" style="position:absolute;left:5049;top:14843;width:1380;height:480;flip:x" filled="f" strokecolor="white" strokeweight=".25pt">
              <v:textbox style="mso-next-textbox:#_x0000_s2364">
                <w:txbxContent>
                  <w:p w:rsidR="0058723E" w:rsidRPr="00706E29" w:rsidRDefault="0058723E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8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_x0000_s2365" style="position:absolute;left:9562;top:14861;width:995;height:480;flip:x" filled="f" strokecolor="white" strokeweight=".25pt">
              <v:textbox style="mso-next-textbox:#_x0000_s2365">
                <w:txbxContent>
                  <w:p w:rsidR="0058723E" w:rsidRPr="002A6587" w:rsidRDefault="0058723E" w:rsidP="004838A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9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4838A4">
        <w:rPr>
          <w:noProof/>
        </w:rPr>
        <w:drawing>
          <wp:inline distT="0" distB="0" distL="0" distR="0">
            <wp:extent cx="6134100" cy="1733550"/>
            <wp:effectExtent l="0" t="0" r="0" b="0"/>
            <wp:docPr id="1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E6758" w:rsidRDefault="005C510B" w:rsidP="00603A7C">
      <w:pPr>
        <w:pStyle w:val="a3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Товарооборот</w:t>
      </w:r>
      <w:r w:rsidR="003D19FE">
        <w:rPr>
          <w:rFonts w:ascii="Arial" w:hAnsi="Arial" w:cs="Arial"/>
          <w:b/>
          <w:sz w:val="22"/>
          <w:szCs w:val="22"/>
        </w:rPr>
        <w:t xml:space="preserve"> общественного питания</w:t>
      </w:r>
      <w:r w:rsidR="005A3E4B">
        <w:rPr>
          <w:rFonts w:ascii="Arial" w:hAnsi="Arial" w:cs="Arial"/>
          <w:b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по</w:t>
      </w:r>
      <w:r w:rsidR="005A3E4B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областям </w:t>
      </w:r>
      <w:r w:rsidR="00AE6758">
        <w:rPr>
          <w:rFonts w:ascii="Arial" w:hAnsi="Arial" w:cs="Arial"/>
          <w:b/>
          <w:sz w:val="22"/>
          <w:szCs w:val="22"/>
        </w:rPr>
        <w:t>и г</w:t>
      </w:r>
      <w:proofErr w:type="gramStart"/>
      <w:r w:rsidR="00AE6758">
        <w:rPr>
          <w:rFonts w:ascii="Arial" w:hAnsi="Arial" w:cs="Arial"/>
          <w:b/>
          <w:sz w:val="22"/>
          <w:szCs w:val="22"/>
        </w:rPr>
        <w:t>.М</w:t>
      </w:r>
      <w:proofErr w:type="gramEnd"/>
      <w:r w:rsidR="00AE6758">
        <w:rPr>
          <w:rFonts w:ascii="Arial" w:hAnsi="Arial" w:cs="Arial"/>
          <w:b/>
          <w:sz w:val="22"/>
          <w:szCs w:val="22"/>
        </w:rPr>
        <w:t>инску</w:t>
      </w:r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395"/>
        <w:gridCol w:w="1855"/>
        <w:gridCol w:w="1417"/>
        <w:gridCol w:w="1418"/>
        <w:gridCol w:w="1980"/>
      </w:tblGrid>
      <w:tr w:rsidR="00F42486" w:rsidTr="00245363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486" w:rsidRDefault="00F42486" w:rsidP="00D44EC2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F30754">
            <w:pPr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Январь 201</w:t>
            </w:r>
            <w:r w:rsidR="00F30754">
              <w:rPr>
                <w:spacing w:val="-2"/>
                <w:sz w:val="22"/>
                <w:szCs w:val="22"/>
              </w:rPr>
              <w:t>9</w:t>
            </w:r>
            <w:r>
              <w:rPr>
                <w:spacing w:val="-2"/>
                <w:sz w:val="22"/>
                <w:szCs w:val="22"/>
              </w:rPr>
              <w:t xml:space="preserve"> г., </w:t>
            </w:r>
            <w:r>
              <w:rPr>
                <w:spacing w:val="-2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8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D44EC2">
            <w:pPr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42486" w:rsidTr="00245363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44EC2">
            <w:pPr>
              <w:rPr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44EC2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F307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201</w:t>
            </w:r>
            <w:r w:rsidR="00F30754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 г.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F30754">
            <w:pPr>
              <w:spacing w:before="20" w:after="20" w:line="200" w:lineRule="exact"/>
              <w:jc w:val="center"/>
              <w:rPr>
                <w:sz w:val="22"/>
                <w:szCs w:val="22"/>
                <w:u w:val="single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 201</w:t>
            </w:r>
            <w:r w:rsidR="00F3075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>
              <w:rPr>
                <w:spacing w:val="-2"/>
                <w:sz w:val="22"/>
                <w:szCs w:val="22"/>
              </w:rPr>
              <w:t>201</w:t>
            </w:r>
            <w:r w:rsidR="00F30754">
              <w:rPr>
                <w:spacing w:val="-2"/>
                <w:sz w:val="22"/>
                <w:szCs w:val="22"/>
              </w:rPr>
              <w:t>7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42486" w:rsidTr="00245363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44EC2">
            <w:pPr>
              <w:rPr>
                <w:sz w:val="22"/>
                <w:szCs w:val="22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44EC2">
            <w:pPr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F30754">
            <w:pPr>
              <w:spacing w:before="20" w:after="20" w:line="200" w:lineRule="exact"/>
              <w:ind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br/>
              <w:t>201</w:t>
            </w:r>
            <w:r w:rsidR="00F30754">
              <w:rPr>
                <w:sz w:val="22"/>
                <w:szCs w:val="22"/>
              </w:rPr>
              <w:t>8</w:t>
            </w:r>
            <w:r w:rsidR="00BF765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г.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2486" w:rsidRDefault="00F42486" w:rsidP="00F3075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декабрю </w:t>
            </w:r>
            <w:r>
              <w:rPr>
                <w:sz w:val="22"/>
                <w:szCs w:val="22"/>
              </w:rPr>
              <w:br/>
              <w:t>201</w:t>
            </w:r>
            <w:r w:rsidR="00F30754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2486" w:rsidRDefault="00F42486" w:rsidP="00D44EC2">
            <w:pPr>
              <w:rPr>
                <w:sz w:val="22"/>
                <w:szCs w:val="22"/>
                <w:u w:val="single"/>
              </w:rPr>
            </w:pPr>
          </w:p>
        </w:tc>
      </w:tr>
      <w:tr w:rsidR="00F42486" w:rsidTr="00245363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42486" w:rsidP="00603A7C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7F3230" w:rsidP="00603A7C">
            <w:pPr>
              <w:spacing w:before="40" w:after="40" w:line="200" w:lineRule="exact"/>
              <w:ind w:right="3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tabs>
                <w:tab w:val="left" w:pos="1489"/>
              </w:tabs>
              <w:spacing w:before="40" w:after="4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</w:tr>
      <w:tr w:rsidR="00F42486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58723E" w:rsidP="00603A7C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F42486">
              <w:rPr>
                <w:sz w:val="22"/>
                <w:szCs w:val="22"/>
              </w:rPr>
              <w:t>бласти и г</w:t>
            </w:r>
            <w:proofErr w:type="gramStart"/>
            <w:r w:rsidR="00F42486">
              <w:rPr>
                <w:sz w:val="22"/>
                <w:szCs w:val="22"/>
              </w:rPr>
              <w:t>.М</w:t>
            </w:r>
            <w:proofErr w:type="gramEnd"/>
            <w:r w:rsidR="00F42486">
              <w:rPr>
                <w:sz w:val="22"/>
                <w:szCs w:val="22"/>
              </w:rPr>
              <w:t>инск: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486" w:rsidRDefault="00F42486" w:rsidP="00603A7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486" w:rsidRDefault="00F42486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486" w:rsidRDefault="00F42486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42486" w:rsidRDefault="00F42486" w:rsidP="00603A7C">
            <w:pPr>
              <w:tabs>
                <w:tab w:val="left" w:pos="1489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</w:tr>
      <w:tr w:rsidR="00F42486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42486" w:rsidP="00603A7C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7F3230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tabs>
                <w:tab w:val="left" w:pos="1489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F42486" w:rsidTr="00245363">
        <w:trPr>
          <w:trHeight w:val="242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42486" w:rsidP="00603A7C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7F3230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tabs>
                <w:tab w:val="left" w:pos="1489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F42486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42486" w:rsidP="00603A7C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</w:t>
            </w:r>
            <w:r w:rsidR="00E6500C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7F3230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tabs>
                <w:tab w:val="left" w:pos="1489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  <w:tr w:rsidR="00F42486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42486" w:rsidP="00603A7C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7F3230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tabs>
                <w:tab w:val="left" w:pos="1489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</w:tr>
      <w:tr w:rsidR="00F42486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42486" w:rsidP="00603A7C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7F3230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tabs>
                <w:tab w:val="left" w:pos="1489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F42486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42486" w:rsidP="00603A7C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7F3230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tabs>
                <w:tab w:val="left" w:pos="1489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</w:tr>
      <w:tr w:rsidR="00F42486" w:rsidTr="00245363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42486" w:rsidRDefault="00F42486" w:rsidP="00603A7C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8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42486" w:rsidRDefault="007F3230" w:rsidP="00603A7C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F42486" w:rsidRDefault="00F30754" w:rsidP="00603A7C">
            <w:pPr>
              <w:tabs>
                <w:tab w:val="left" w:pos="1489"/>
              </w:tabs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</w:tbl>
    <w:p w:rsidR="00AE6758" w:rsidRDefault="00AE6758" w:rsidP="00603A7C">
      <w:pPr>
        <w:pStyle w:val="a3"/>
        <w:tabs>
          <w:tab w:val="left" w:pos="708"/>
        </w:tabs>
        <w:spacing w:before="12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</w:t>
      </w:r>
      <w:r w:rsidR="00526EA5">
        <w:rPr>
          <w:rFonts w:ascii="Arial" w:hAnsi="Arial" w:cs="Arial"/>
          <w:b/>
          <w:sz w:val="22"/>
          <w:szCs w:val="22"/>
        </w:rPr>
        <w:br/>
      </w:r>
      <w:r w:rsidRPr="00EA32AF">
        <w:rPr>
          <w:rFonts w:ascii="Arial" w:hAnsi="Arial" w:cs="Arial"/>
          <w:b/>
          <w:sz w:val="22"/>
          <w:szCs w:val="22"/>
        </w:rPr>
        <w:t xml:space="preserve">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9A164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1953D7" w:rsidP="007F323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Январь </w:t>
            </w:r>
            <w:r w:rsidR="00AE6758" w:rsidRPr="009B4295">
              <w:rPr>
                <w:rFonts w:eastAsia="Times New Roman"/>
              </w:rPr>
              <w:t>201</w:t>
            </w:r>
            <w:r w:rsidR="007F3230">
              <w:rPr>
                <w:rFonts w:eastAsia="Times New Roman"/>
              </w:rPr>
              <w:t>9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9A1645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A1645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9A1645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7F3230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</w:t>
            </w:r>
            <w:proofErr w:type="gramStart"/>
            <w:r>
              <w:t>к</w:t>
            </w:r>
            <w:proofErr w:type="gramEnd"/>
            <w:r>
              <w:br/>
            </w:r>
            <w:r w:rsidR="001953D7">
              <w:t xml:space="preserve">январю </w:t>
            </w:r>
            <w:r w:rsidR="001953D7">
              <w:br/>
            </w:r>
            <w:r>
              <w:t>201</w:t>
            </w:r>
            <w:r w:rsidR="007F3230">
              <w:t>8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1953D7" w:rsidP="007F32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AE6758" w:rsidRPr="008C186F">
              <w:rPr>
                <w:sz w:val="22"/>
                <w:szCs w:val="22"/>
              </w:rPr>
              <w:t>201</w:t>
            </w:r>
            <w:r w:rsidR="007F3230">
              <w:rPr>
                <w:sz w:val="22"/>
                <w:szCs w:val="22"/>
              </w:rPr>
              <w:t>9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7F3230">
            <w:pPr>
              <w:spacing w:before="40" w:after="4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u w:val="single"/>
              </w:rPr>
              <w:t>справочно</w:t>
            </w:r>
            <w:proofErr w:type="spellEnd"/>
            <w:r>
              <w:rPr>
                <w:sz w:val="22"/>
              </w:rPr>
              <w:br/>
            </w:r>
            <w:r w:rsidR="001953D7">
              <w:rPr>
                <w:sz w:val="22"/>
              </w:rPr>
              <w:t xml:space="preserve">январь </w:t>
            </w:r>
            <w:r w:rsidR="001953D7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7F3230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</w:tr>
      <w:tr w:rsidR="00AE6758" w:rsidTr="0022007A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362B7A" w:rsidRDefault="00AE6758" w:rsidP="00603A7C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 w:rsidR="00C92EF1"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D87A3F" w:rsidRDefault="007F3230" w:rsidP="00603A7C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200,5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1C5EDD" w:rsidRDefault="007F3230" w:rsidP="00603A7C">
            <w:pPr>
              <w:spacing w:before="40" w:after="40" w:line="200" w:lineRule="exact"/>
              <w:ind w:right="602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FF24A7" w:rsidRDefault="00AE6758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FF24A7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FF24A7" w:rsidRDefault="00AE6758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b/>
                <w:sz w:val="22"/>
              </w:rPr>
            </w:pPr>
            <w:r w:rsidRPr="00FF24A7">
              <w:rPr>
                <w:b/>
                <w:sz w:val="22"/>
              </w:rPr>
              <w:t>100</w:t>
            </w:r>
          </w:p>
        </w:tc>
      </w:tr>
      <w:tr w:rsidR="00AE6758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603A7C">
            <w:pPr>
              <w:spacing w:before="40" w:after="40" w:line="200" w:lineRule="exact"/>
              <w:ind w:firstLine="781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603A7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AE6758" w:rsidP="00603A7C">
            <w:pPr>
              <w:spacing w:before="40" w:after="40" w:line="200" w:lineRule="exact"/>
              <w:ind w:right="602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</w:p>
        </w:tc>
      </w:tr>
      <w:tr w:rsidR="00AE6758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603A7C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7F3230" w:rsidP="00603A7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52,6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spacing w:before="40" w:after="40" w:line="20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102,2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26,2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26,7</w:t>
            </w:r>
          </w:p>
        </w:tc>
      </w:tr>
      <w:tr w:rsidR="00AE6758" w:rsidTr="00BF3467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603A7C">
            <w:pPr>
              <w:spacing w:before="40" w:after="40" w:line="200" w:lineRule="exact"/>
              <w:ind w:left="708" w:hanging="2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7F3230" w:rsidP="00603A7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spacing w:before="40" w:after="40" w:line="20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</w:tr>
      <w:tr w:rsidR="00AE6758" w:rsidTr="005030A9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603A7C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7F3230" w:rsidP="00603A7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29,8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spacing w:before="40" w:after="40" w:line="20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100,5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15,4</w:t>
            </w:r>
          </w:p>
        </w:tc>
      </w:tr>
      <w:tr w:rsidR="00AE6758" w:rsidTr="00B15F55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AE6758" w:rsidP="00603A7C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7F3230" w:rsidP="00603A7C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126,8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spacing w:before="40" w:after="40" w:line="20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63,3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63,4</w:t>
            </w:r>
          </w:p>
        </w:tc>
      </w:tr>
      <w:tr w:rsidR="00AE6758" w:rsidTr="000247E0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6A3C81" w:rsidP="00603A7C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из нее с долей </w:t>
            </w:r>
            <w:proofErr w:type="spellStart"/>
            <w:proofErr w:type="gramStart"/>
            <w:r>
              <w:rPr>
                <w:sz w:val="22"/>
              </w:rPr>
              <w:t>госу</w:t>
            </w:r>
            <w:r w:rsidR="00CD4939">
              <w:rPr>
                <w:sz w:val="22"/>
              </w:rPr>
              <w:t>-</w:t>
            </w:r>
            <w:r>
              <w:rPr>
                <w:sz w:val="22"/>
              </w:rPr>
              <w:t>дар</w:t>
            </w:r>
            <w:r w:rsidR="00AE6758">
              <w:rPr>
                <w:sz w:val="22"/>
              </w:rPr>
              <w:t>ственной</w:t>
            </w:r>
            <w:proofErr w:type="spellEnd"/>
            <w:proofErr w:type="gramEnd"/>
            <w:r w:rsidR="00AE6758">
              <w:rPr>
                <w:sz w:val="22"/>
              </w:rPr>
              <w:t xml:space="preserve"> собственности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Pr="00E235F6" w:rsidRDefault="007F3230" w:rsidP="00603A7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spacing w:before="40" w:after="40" w:line="20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11,7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Pr="00E235F6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AE6758" w:rsidTr="000247E0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Default="00AE6758" w:rsidP="00603A7C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E235F6" w:rsidRDefault="007F3230" w:rsidP="00603A7C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spacing w:before="40" w:after="40" w:line="200" w:lineRule="exact"/>
              <w:ind w:right="602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E6758" w:rsidRPr="00E235F6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758" w:rsidRDefault="007F3230" w:rsidP="00603A7C">
            <w:pPr>
              <w:tabs>
                <w:tab w:val="left" w:pos="355"/>
              </w:tabs>
              <w:spacing w:before="40" w:after="40" w:line="200" w:lineRule="exact"/>
              <w:ind w:right="385"/>
              <w:jc w:val="right"/>
              <w:rPr>
                <w:sz w:val="22"/>
              </w:rPr>
            </w:pPr>
            <w:r>
              <w:rPr>
                <w:sz w:val="22"/>
              </w:rPr>
              <w:t>9,9</w:t>
            </w:r>
          </w:p>
        </w:tc>
      </w:tr>
    </w:tbl>
    <w:p w:rsidR="00BF765A" w:rsidRPr="00603A7C" w:rsidRDefault="00BF765A" w:rsidP="00603A7C">
      <w:pPr>
        <w:tabs>
          <w:tab w:val="left" w:pos="5535"/>
        </w:tabs>
        <w:spacing w:before="240" w:after="120" w:line="360" w:lineRule="exact"/>
        <w:jc w:val="both"/>
        <w:rPr>
          <w:rFonts w:ascii="Arial" w:hAnsi="Arial" w:cs="Arial"/>
          <w:b/>
          <w:sz w:val="26"/>
          <w:lang w:val="en-US"/>
        </w:rPr>
      </w:pPr>
    </w:p>
    <w:sectPr w:rsidR="00BF765A" w:rsidRPr="00603A7C" w:rsidSect="00AC4B7D">
      <w:headerReference w:type="default" r:id="rId14"/>
      <w:footerReference w:type="even" r:id="rId15"/>
      <w:footerReference w:type="default" r:id="rId16"/>
      <w:pgSz w:w="11907" w:h="16840" w:code="9"/>
      <w:pgMar w:top="1134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723E" w:rsidRDefault="0058723E">
      <w:r>
        <w:separator/>
      </w:r>
    </w:p>
  </w:endnote>
  <w:endnote w:type="continuationSeparator" w:id="1">
    <w:p w:rsidR="0058723E" w:rsidRDefault="005872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поле 28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23E" w:rsidRDefault="00B0675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58723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723E" w:rsidRDefault="0058723E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23E" w:rsidRDefault="00B06752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 w:rsidR="0058723E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C4B7D">
      <w:rPr>
        <w:rStyle w:val="a6"/>
        <w:noProof/>
      </w:rPr>
      <w:t>10</w:t>
    </w:r>
    <w:r>
      <w:rPr>
        <w:rStyle w:val="a6"/>
      </w:rPr>
      <w:fldChar w:fldCharType="end"/>
    </w:r>
  </w:p>
  <w:p w:rsidR="0058723E" w:rsidRDefault="0058723E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723E" w:rsidRDefault="0058723E">
      <w:r>
        <w:separator/>
      </w:r>
    </w:p>
  </w:footnote>
  <w:footnote w:type="continuationSeparator" w:id="1">
    <w:p w:rsidR="0058723E" w:rsidRDefault="0058723E">
      <w:r>
        <w:continuationSeparator/>
      </w:r>
    </w:p>
  </w:footnote>
  <w:footnote w:id="2">
    <w:p w:rsidR="0058723E" w:rsidRDefault="0058723E" w:rsidP="00E6500C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 w:rsidRPr="00E6500C">
        <w:rPr>
          <w:spacing w:val="-6"/>
          <w:vertAlign w:val="superscript"/>
        </w:rPr>
        <w:t>)</w:t>
      </w:r>
      <w:r w:rsidRPr="00DC4314">
        <w:t> </w:t>
      </w:r>
      <w:r>
        <w:rPr>
          <w:spacing w:val="-6"/>
        </w:rPr>
        <w:t>Д</w:t>
      </w:r>
      <w:r w:rsidRPr="004C5D3F">
        <w:rPr>
          <w:spacing w:val="-6"/>
        </w:rPr>
        <w:t xml:space="preserve">анные </w:t>
      </w:r>
      <w:r>
        <w:rPr>
          <w:spacing w:val="-6"/>
        </w:rPr>
        <w:t xml:space="preserve">приведены </w:t>
      </w:r>
      <w:r w:rsidRPr="004C5D3F">
        <w:rPr>
          <w:spacing w:val="-6"/>
        </w:rPr>
        <w:t>по организациям с основным видом экономической деятельности «</w:t>
      </w:r>
      <w:r w:rsidR="00771812">
        <w:rPr>
          <w:spacing w:val="-6"/>
        </w:rPr>
        <w:t>Оптовая</w:t>
      </w:r>
      <w:r w:rsidR="00771812" w:rsidRPr="00771812">
        <w:rPr>
          <w:spacing w:val="-6"/>
        </w:rPr>
        <w:br/>
      </w:r>
      <w:r>
        <w:rPr>
          <w:spacing w:val="-6"/>
        </w:rPr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23E" w:rsidRDefault="0058723E" w:rsidP="00C2174F">
    <w:pPr>
      <w:pStyle w:val="a3"/>
      <w:pBdr>
        <w:bottom w:val="double" w:sz="6" w:space="1" w:color="auto"/>
      </w:pBdr>
      <w:tabs>
        <w:tab w:val="center" w:pos="4536"/>
      </w:tabs>
      <w:spacing w:after="24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mailMerge>
    <w:mainDocumentType w:val="formLetters"/>
    <w:dataType w:val="textFile"/>
    <w:activeRecord w:val="-1"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F3B"/>
    <w:rsid w:val="00005FB1"/>
    <w:rsid w:val="00006398"/>
    <w:rsid w:val="000064EC"/>
    <w:rsid w:val="00006E99"/>
    <w:rsid w:val="00007BF5"/>
    <w:rsid w:val="00010926"/>
    <w:rsid w:val="00011670"/>
    <w:rsid w:val="00011A56"/>
    <w:rsid w:val="00011BAF"/>
    <w:rsid w:val="00012F31"/>
    <w:rsid w:val="0001418E"/>
    <w:rsid w:val="00014934"/>
    <w:rsid w:val="000158A7"/>
    <w:rsid w:val="00015E85"/>
    <w:rsid w:val="000161AA"/>
    <w:rsid w:val="00016218"/>
    <w:rsid w:val="000176A5"/>
    <w:rsid w:val="00017B9D"/>
    <w:rsid w:val="00017DED"/>
    <w:rsid w:val="00017E4D"/>
    <w:rsid w:val="00017E97"/>
    <w:rsid w:val="00017F6F"/>
    <w:rsid w:val="0002085B"/>
    <w:rsid w:val="00020D36"/>
    <w:rsid w:val="000230AF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7C"/>
    <w:rsid w:val="00031538"/>
    <w:rsid w:val="000315D0"/>
    <w:rsid w:val="00031752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6BC"/>
    <w:rsid w:val="00047194"/>
    <w:rsid w:val="00047340"/>
    <w:rsid w:val="000518BA"/>
    <w:rsid w:val="0005195F"/>
    <w:rsid w:val="0005267B"/>
    <w:rsid w:val="00052D7E"/>
    <w:rsid w:val="00052D88"/>
    <w:rsid w:val="00052F56"/>
    <w:rsid w:val="00053564"/>
    <w:rsid w:val="000536DD"/>
    <w:rsid w:val="00053723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5CF"/>
    <w:rsid w:val="0006476F"/>
    <w:rsid w:val="00064AD6"/>
    <w:rsid w:val="00065DD1"/>
    <w:rsid w:val="000667C0"/>
    <w:rsid w:val="00066CF7"/>
    <w:rsid w:val="000678A7"/>
    <w:rsid w:val="0007030A"/>
    <w:rsid w:val="00070CEF"/>
    <w:rsid w:val="000730A4"/>
    <w:rsid w:val="0007359E"/>
    <w:rsid w:val="00073C10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86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60ED"/>
    <w:rsid w:val="00086693"/>
    <w:rsid w:val="00090215"/>
    <w:rsid w:val="000923BE"/>
    <w:rsid w:val="000928DA"/>
    <w:rsid w:val="00092E34"/>
    <w:rsid w:val="00093193"/>
    <w:rsid w:val="000932F9"/>
    <w:rsid w:val="00095730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27E"/>
    <w:rsid w:val="000C15D9"/>
    <w:rsid w:val="000C1D06"/>
    <w:rsid w:val="000C1E15"/>
    <w:rsid w:val="000C1FFB"/>
    <w:rsid w:val="000C20CC"/>
    <w:rsid w:val="000C35C8"/>
    <w:rsid w:val="000C3DAA"/>
    <w:rsid w:val="000C3EA4"/>
    <w:rsid w:val="000C5293"/>
    <w:rsid w:val="000C5323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58E"/>
    <w:rsid w:val="000D398A"/>
    <w:rsid w:val="000D39C4"/>
    <w:rsid w:val="000D3E37"/>
    <w:rsid w:val="000D3F47"/>
    <w:rsid w:val="000D4433"/>
    <w:rsid w:val="000D4B3B"/>
    <w:rsid w:val="000D4C5A"/>
    <w:rsid w:val="000D4D3B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CA1"/>
    <w:rsid w:val="00101338"/>
    <w:rsid w:val="00103646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64DF"/>
    <w:rsid w:val="00116D79"/>
    <w:rsid w:val="00117403"/>
    <w:rsid w:val="00120014"/>
    <w:rsid w:val="00120022"/>
    <w:rsid w:val="00120D4C"/>
    <w:rsid w:val="00120F21"/>
    <w:rsid w:val="0012182B"/>
    <w:rsid w:val="00121DA5"/>
    <w:rsid w:val="00122086"/>
    <w:rsid w:val="00122370"/>
    <w:rsid w:val="0012246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80C"/>
    <w:rsid w:val="00147147"/>
    <w:rsid w:val="00147192"/>
    <w:rsid w:val="00147427"/>
    <w:rsid w:val="00147986"/>
    <w:rsid w:val="00147A4D"/>
    <w:rsid w:val="00147DE9"/>
    <w:rsid w:val="001501F2"/>
    <w:rsid w:val="00150994"/>
    <w:rsid w:val="00150F90"/>
    <w:rsid w:val="0015171E"/>
    <w:rsid w:val="001518AF"/>
    <w:rsid w:val="001521D5"/>
    <w:rsid w:val="00152410"/>
    <w:rsid w:val="00152FDC"/>
    <w:rsid w:val="0015332F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5EA8"/>
    <w:rsid w:val="00176B29"/>
    <w:rsid w:val="00176FD0"/>
    <w:rsid w:val="00177252"/>
    <w:rsid w:val="00177652"/>
    <w:rsid w:val="00177852"/>
    <w:rsid w:val="00177B48"/>
    <w:rsid w:val="00180216"/>
    <w:rsid w:val="00180B32"/>
    <w:rsid w:val="0018108D"/>
    <w:rsid w:val="00181889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DEB"/>
    <w:rsid w:val="00194E14"/>
    <w:rsid w:val="001953D7"/>
    <w:rsid w:val="00197F52"/>
    <w:rsid w:val="001A066B"/>
    <w:rsid w:val="001A1146"/>
    <w:rsid w:val="001A12F5"/>
    <w:rsid w:val="001A1AB7"/>
    <w:rsid w:val="001A34AA"/>
    <w:rsid w:val="001A3988"/>
    <w:rsid w:val="001A3D06"/>
    <w:rsid w:val="001A525A"/>
    <w:rsid w:val="001A54C3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621B"/>
    <w:rsid w:val="001B6309"/>
    <w:rsid w:val="001B661B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990"/>
    <w:rsid w:val="001C3D17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B6F"/>
    <w:rsid w:val="001C73F7"/>
    <w:rsid w:val="001C7DCE"/>
    <w:rsid w:val="001D0892"/>
    <w:rsid w:val="001D0FA6"/>
    <w:rsid w:val="001D1164"/>
    <w:rsid w:val="001D16BE"/>
    <w:rsid w:val="001D1E91"/>
    <w:rsid w:val="001D1F79"/>
    <w:rsid w:val="001D2318"/>
    <w:rsid w:val="001D6AFA"/>
    <w:rsid w:val="001D6EDC"/>
    <w:rsid w:val="001D72A8"/>
    <w:rsid w:val="001E003A"/>
    <w:rsid w:val="001E0704"/>
    <w:rsid w:val="001E0710"/>
    <w:rsid w:val="001E0F75"/>
    <w:rsid w:val="001E10DE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E93"/>
    <w:rsid w:val="00205DD6"/>
    <w:rsid w:val="00205E05"/>
    <w:rsid w:val="00206674"/>
    <w:rsid w:val="002069AE"/>
    <w:rsid w:val="00207059"/>
    <w:rsid w:val="00207136"/>
    <w:rsid w:val="002074D0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DD8"/>
    <w:rsid w:val="00223F4D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809"/>
    <w:rsid w:val="00240B09"/>
    <w:rsid w:val="00240D85"/>
    <w:rsid w:val="002415B7"/>
    <w:rsid w:val="00241BE5"/>
    <w:rsid w:val="00241F77"/>
    <w:rsid w:val="00243019"/>
    <w:rsid w:val="00243107"/>
    <w:rsid w:val="002434A9"/>
    <w:rsid w:val="00243825"/>
    <w:rsid w:val="00243B62"/>
    <w:rsid w:val="00243E07"/>
    <w:rsid w:val="00244CF0"/>
    <w:rsid w:val="00245363"/>
    <w:rsid w:val="00245F99"/>
    <w:rsid w:val="00246C60"/>
    <w:rsid w:val="002472FD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3DE1"/>
    <w:rsid w:val="0025439C"/>
    <w:rsid w:val="00254B14"/>
    <w:rsid w:val="00254B94"/>
    <w:rsid w:val="00255ECA"/>
    <w:rsid w:val="002561F7"/>
    <w:rsid w:val="002571FC"/>
    <w:rsid w:val="00257B96"/>
    <w:rsid w:val="00260515"/>
    <w:rsid w:val="00260BC6"/>
    <w:rsid w:val="0026113E"/>
    <w:rsid w:val="00261728"/>
    <w:rsid w:val="00261A1C"/>
    <w:rsid w:val="00262396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6160"/>
    <w:rsid w:val="0027717E"/>
    <w:rsid w:val="0027723A"/>
    <w:rsid w:val="00277877"/>
    <w:rsid w:val="00277C09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6C2C"/>
    <w:rsid w:val="002879F1"/>
    <w:rsid w:val="00287C9F"/>
    <w:rsid w:val="00287F0A"/>
    <w:rsid w:val="0029045B"/>
    <w:rsid w:val="002927F5"/>
    <w:rsid w:val="00292C29"/>
    <w:rsid w:val="00292D7B"/>
    <w:rsid w:val="00293058"/>
    <w:rsid w:val="00293597"/>
    <w:rsid w:val="002937F5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DC9"/>
    <w:rsid w:val="002B63D2"/>
    <w:rsid w:val="002B6F4E"/>
    <w:rsid w:val="002B7021"/>
    <w:rsid w:val="002B714D"/>
    <w:rsid w:val="002C02A9"/>
    <w:rsid w:val="002C033A"/>
    <w:rsid w:val="002C0A14"/>
    <w:rsid w:val="002C0A47"/>
    <w:rsid w:val="002C0AD9"/>
    <w:rsid w:val="002C1215"/>
    <w:rsid w:val="002C1B40"/>
    <w:rsid w:val="002C1D98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8AE"/>
    <w:rsid w:val="003064DD"/>
    <w:rsid w:val="00306926"/>
    <w:rsid w:val="00307849"/>
    <w:rsid w:val="0031034F"/>
    <w:rsid w:val="0031110C"/>
    <w:rsid w:val="00311C1E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91A"/>
    <w:rsid w:val="0033190F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FD"/>
    <w:rsid w:val="00340866"/>
    <w:rsid w:val="00341192"/>
    <w:rsid w:val="00341196"/>
    <w:rsid w:val="00341774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661B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B7A"/>
    <w:rsid w:val="0036376D"/>
    <w:rsid w:val="00364496"/>
    <w:rsid w:val="003646AD"/>
    <w:rsid w:val="003654F3"/>
    <w:rsid w:val="00366733"/>
    <w:rsid w:val="00367A27"/>
    <w:rsid w:val="00367C70"/>
    <w:rsid w:val="0037194F"/>
    <w:rsid w:val="00371F6F"/>
    <w:rsid w:val="00373560"/>
    <w:rsid w:val="00373A76"/>
    <w:rsid w:val="00373BE5"/>
    <w:rsid w:val="00375584"/>
    <w:rsid w:val="003760AD"/>
    <w:rsid w:val="003763C2"/>
    <w:rsid w:val="003773CB"/>
    <w:rsid w:val="00377D44"/>
    <w:rsid w:val="00380709"/>
    <w:rsid w:val="00380E62"/>
    <w:rsid w:val="00381C56"/>
    <w:rsid w:val="003828B4"/>
    <w:rsid w:val="0038340D"/>
    <w:rsid w:val="00383C5E"/>
    <w:rsid w:val="00383CA1"/>
    <w:rsid w:val="00384CAE"/>
    <w:rsid w:val="003859C4"/>
    <w:rsid w:val="003862B0"/>
    <w:rsid w:val="0038677A"/>
    <w:rsid w:val="003877C1"/>
    <w:rsid w:val="003916ED"/>
    <w:rsid w:val="00392F7F"/>
    <w:rsid w:val="00394850"/>
    <w:rsid w:val="003948F1"/>
    <w:rsid w:val="00394A14"/>
    <w:rsid w:val="00394B73"/>
    <w:rsid w:val="0039591D"/>
    <w:rsid w:val="00395C45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725C"/>
    <w:rsid w:val="003D136A"/>
    <w:rsid w:val="003D19FE"/>
    <w:rsid w:val="003D1CFE"/>
    <w:rsid w:val="003D212C"/>
    <w:rsid w:val="003D25ED"/>
    <w:rsid w:val="003D26A1"/>
    <w:rsid w:val="003D2CED"/>
    <w:rsid w:val="003D32D2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CB4"/>
    <w:rsid w:val="003E20AA"/>
    <w:rsid w:val="003E25F7"/>
    <w:rsid w:val="003E2C8A"/>
    <w:rsid w:val="003E3835"/>
    <w:rsid w:val="003E3A57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86E"/>
    <w:rsid w:val="003F3FD9"/>
    <w:rsid w:val="003F4624"/>
    <w:rsid w:val="003F4B61"/>
    <w:rsid w:val="003F52DC"/>
    <w:rsid w:val="003F54E6"/>
    <w:rsid w:val="003F5B1B"/>
    <w:rsid w:val="003F62AF"/>
    <w:rsid w:val="003F64F5"/>
    <w:rsid w:val="003F676A"/>
    <w:rsid w:val="003F6D89"/>
    <w:rsid w:val="003F7490"/>
    <w:rsid w:val="003F77D1"/>
    <w:rsid w:val="003F7B87"/>
    <w:rsid w:val="004001E6"/>
    <w:rsid w:val="004003B5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FDE"/>
    <w:rsid w:val="00430836"/>
    <w:rsid w:val="00430F48"/>
    <w:rsid w:val="00431177"/>
    <w:rsid w:val="00431871"/>
    <w:rsid w:val="00431F64"/>
    <w:rsid w:val="00432A6A"/>
    <w:rsid w:val="0043306C"/>
    <w:rsid w:val="004330D7"/>
    <w:rsid w:val="004339AA"/>
    <w:rsid w:val="00433B82"/>
    <w:rsid w:val="00433C0E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42F0"/>
    <w:rsid w:val="00444383"/>
    <w:rsid w:val="004446C8"/>
    <w:rsid w:val="00444FAE"/>
    <w:rsid w:val="004450F2"/>
    <w:rsid w:val="004456F0"/>
    <w:rsid w:val="0044593C"/>
    <w:rsid w:val="004465D1"/>
    <w:rsid w:val="00446A6C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33B8"/>
    <w:rsid w:val="0045373D"/>
    <w:rsid w:val="00453771"/>
    <w:rsid w:val="0045398F"/>
    <w:rsid w:val="00453ACB"/>
    <w:rsid w:val="00453E07"/>
    <w:rsid w:val="00453E4A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F42"/>
    <w:rsid w:val="00466F98"/>
    <w:rsid w:val="004679D6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7354"/>
    <w:rsid w:val="00477A09"/>
    <w:rsid w:val="0048054A"/>
    <w:rsid w:val="00480C81"/>
    <w:rsid w:val="00480E18"/>
    <w:rsid w:val="004816DD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52BD"/>
    <w:rsid w:val="00485393"/>
    <w:rsid w:val="004857C8"/>
    <w:rsid w:val="004860AA"/>
    <w:rsid w:val="00486E0E"/>
    <w:rsid w:val="00487212"/>
    <w:rsid w:val="00487C3E"/>
    <w:rsid w:val="004908BF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A31"/>
    <w:rsid w:val="004C2DF6"/>
    <w:rsid w:val="004C2F09"/>
    <w:rsid w:val="004C42BD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C9F"/>
    <w:rsid w:val="004D3A31"/>
    <w:rsid w:val="004D3A88"/>
    <w:rsid w:val="004D3F6E"/>
    <w:rsid w:val="004D4F32"/>
    <w:rsid w:val="004D57C5"/>
    <w:rsid w:val="004D5A52"/>
    <w:rsid w:val="004D5F0C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16DB"/>
    <w:rsid w:val="00501AD7"/>
    <w:rsid w:val="005029A0"/>
    <w:rsid w:val="005030A9"/>
    <w:rsid w:val="00503C1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64"/>
    <w:rsid w:val="0051663C"/>
    <w:rsid w:val="00516B26"/>
    <w:rsid w:val="005172EC"/>
    <w:rsid w:val="005174FA"/>
    <w:rsid w:val="00517FEE"/>
    <w:rsid w:val="0052119C"/>
    <w:rsid w:val="005225B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ED0"/>
    <w:rsid w:val="00535516"/>
    <w:rsid w:val="00535E28"/>
    <w:rsid w:val="00535F70"/>
    <w:rsid w:val="005371AC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C44"/>
    <w:rsid w:val="00562CF4"/>
    <w:rsid w:val="005631C0"/>
    <w:rsid w:val="005635B2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56EF"/>
    <w:rsid w:val="0058586A"/>
    <w:rsid w:val="0058683A"/>
    <w:rsid w:val="0058723E"/>
    <w:rsid w:val="005872FC"/>
    <w:rsid w:val="005877F9"/>
    <w:rsid w:val="00590426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994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F35"/>
    <w:rsid w:val="005B62A3"/>
    <w:rsid w:val="005B7506"/>
    <w:rsid w:val="005B7731"/>
    <w:rsid w:val="005B7757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A1D"/>
    <w:rsid w:val="005D1C25"/>
    <w:rsid w:val="005D1FCF"/>
    <w:rsid w:val="005D2327"/>
    <w:rsid w:val="005D242D"/>
    <w:rsid w:val="005D2805"/>
    <w:rsid w:val="005D2B2A"/>
    <w:rsid w:val="005D3764"/>
    <w:rsid w:val="005D3AC8"/>
    <w:rsid w:val="005D3DB0"/>
    <w:rsid w:val="005D4A3E"/>
    <w:rsid w:val="005D4C1F"/>
    <w:rsid w:val="005D5FCC"/>
    <w:rsid w:val="005D622E"/>
    <w:rsid w:val="005D66FC"/>
    <w:rsid w:val="005D7165"/>
    <w:rsid w:val="005D7F77"/>
    <w:rsid w:val="005E028D"/>
    <w:rsid w:val="005E052D"/>
    <w:rsid w:val="005E142F"/>
    <w:rsid w:val="005E1D80"/>
    <w:rsid w:val="005E3904"/>
    <w:rsid w:val="005E41A0"/>
    <w:rsid w:val="005E5C97"/>
    <w:rsid w:val="005E6479"/>
    <w:rsid w:val="005E6E39"/>
    <w:rsid w:val="005E70F8"/>
    <w:rsid w:val="005E72D0"/>
    <w:rsid w:val="005E7979"/>
    <w:rsid w:val="005F0BEF"/>
    <w:rsid w:val="005F0D9F"/>
    <w:rsid w:val="005F1F4D"/>
    <w:rsid w:val="005F2376"/>
    <w:rsid w:val="005F2CFF"/>
    <w:rsid w:val="005F3249"/>
    <w:rsid w:val="005F392C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A7C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22DD"/>
    <w:rsid w:val="0061240F"/>
    <w:rsid w:val="00612873"/>
    <w:rsid w:val="00613510"/>
    <w:rsid w:val="00613C60"/>
    <w:rsid w:val="00614299"/>
    <w:rsid w:val="0061460A"/>
    <w:rsid w:val="00614AFA"/>
    <w:rsid w:val="00615952"/>
    <w:rsid w:val="00616CA4"/>
    <w:rsid w:val="00617EE0"/>
    <w:rsid w:val="0062032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D18"/>
    <w:rsid w:val="006303B7"/>
    <w:rsid w:val="006311DA"/>
    <w:rsid w:val="00631A92"/>
    <w:rsid w:val="00631F63"/>
    <w:rsid w:val="00632984"/>
    <w:rsid w:val="00633B0A"/>
    <w:rsid w:val="00633F13"/>
    <w:rsid w:val="00634A5B"/>
    <w:rsid w:val="00636054"/>
    <w:rsid w:val="00636591"/>
    <w:rsid w:val="00636BC6"/>
    <w:rsid w:val="00636F04"/>
    <w:rsid w:val="00637158"/>
    <w:rsid w:val="006376DF"/>
    <w:rsid w:val="00640B00"/>
    <w:rsid w:val="00641553"/>
    <w:rsid w:val="006417DE"/>
    <w:rsid w:val="00642CE8"/>
    <w:rsid w:val="00643A8A"/>
    <w:rsid w:val="00643BAD"/>
    <w:rsid w:val="0064413C"/>
    <w:rsid w:val="00644FE5"/>
    <w:rsid w:val="006450F2"/>
    <w:rsid w:val="0064626C"/>
    <w:rsid w:val="0064655E"/>
    <w:rsid w:val="00646815"/>
    <w:rsid w:val="006473D7"/>
    <w:rsid w:val="0064768C"/>
    <w:rsid w:val="00650178"/>
    <w:rsid w:val="0065039D"/>
    <w:rsid w:val="006503B7"/>
    <w:rsid w:val="0065043C"/>
    <w:rsid w:val="00650655"/>
    <w:rsid w:val="006515E4"/>
    <w:rsid w:val="00651EC6"/>
    <w:rsid w:val="006532B5"/>
    <w:rsid w:val="00653382"/>
    <w:rsid w:val="0065353E"/>
    <w:rsid w:val="00653D69"/>
    <w:rsid w:val="00653FBA"/>
    <w:rsid w:val="0065452F"/>
    <w:rsid w:val="00654976"/>
    <w:rsid w:val="00654D4E"/>
    <w:rsid w:val="006550ED"/>
    <w:rsid w:val="0065523E"/>
    <w:rsid w:val="0065532C"/>
    <w:rsid w:val="006554FF"/>
    <w:rsid w:val="00655DF4"/>
    <w:rsid w:val="00655F28"/>
    <w:rsid w:val="0065665A"/>
    <w:rsid w:val="00656972"/>
    <w:rsid w:val="00656C04"/>
    <w:rsid w:val="00656EE0"/>
    <w:rsid w:val="0065720E"/>
    <w:rsid w:val="0065722E"/>
    <w:rsid w:val="00657556"/>
    <w:rsid w:val="00657679"/>
    <w:rsid w:val="00657E25"/>
    <w:rsid w:val="00660488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5C7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BF"/>
    <w:rsid w:val="006B4BD3"/>
    <w:rsid w:val="006B5158"/>
    <w:rsid w:val="006B52C3"/>
    <w:rsid w:val="006B54D1"/>
    <w:rsid w:val="006B5FC5"/>
    <w:rsid w:val="006B62EB"/>
    <w:rsid w:val="006B6EE9"/>
    <w:rsid w:val="006B7B9C"/>
    <w:rsid w:val="006B7BB9"/>
    <w:rsid w:val="006C018A"/>
    <w:rsid w:val="006C0406"/>
    <w:rsid w:val="006C0468"/>
    <w:rsid w:val="006C061A"/>
    <w:rsid w:val="006C0999"/>
    <w:rsid w:val="006C26A9"/>
    <w:rsid w:val="006C346E"/>
    <w:rsid w:val="006C3522"/>
    <w:rsid w:val="006C38DF"/>
    <w:rsid w:val="006C3F86"/>
    <w:rsid w:val="006C3F96"/>
    <w:rsid w:val="006C5392"/>
    <w:rsid w:val="006C5659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D75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E7"/>
    <w:rsid w:val="007019E3"/>
    <w:rsid w:val="00701D16"/>
    <w:rsid w:val="00702730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C2"/>
    <w:rsid w:val="00723C3F"/>
    <w:rsid w:val="00724596"/>
    <w:rsid w:val="0072483B"/>
    <w:rsid w:val="0072651A"/>
    <w:rsid w:val="0072763E"/>
    <w:rsid w:val="007278A5"/>
    <w:rsid w:val="00731217"/>
    <w:rsid w:val="0073197F"/>
    <w:rsid w:val="007330B7"/>
    <w:rsid w:val="0073371A"/>
    <w:rsid w:val="007340F1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40426"/>
    <w:rsid w:val="00741C65"/>
    <w:rsid w:val="00741FA2"/>
    <w:rsid w:val="007421E6"/>
    <w:rsid w:val="007432A3"/>
    <w:rsid w:val="00743561"/>
    <w:rsid w:val="00743CA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9B1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812"/>
    <w:rsid w:val="00771939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EA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955"/>
    <w:rsid w:val="007869F9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D65"/>
    <w:rsid w:val="007A6DCA"/>
    <w:rsid w:val="007A799F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B3C"/>
    <w:rsid w:val="007D421B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7B3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BA1"/>
    <w:rsid w:val="008114C8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20D61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82E"/>
    <w:rsid w:val="00830CD9"/>
    <w:rsid w:val="00831F55"/>
    <w:rsid w:val="00832668"/>
    <w:rsid w:val="00832B64"/>
    <w:rsid w:val="00832CF4"/>
    <w:rsid w:val="00833390"/>
    <w:rsid w:val="008337F5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6656"/>
    <w:rsid w:val="008577C5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70D2"/>
    <w:rsid w:val="00867415"/>
    <w:rsid w:val="0086765D"/>
    <w:rsid w:val="00867D2D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207D"/>
    <w:rsid w:val="0088293A"/>
    <w:rsid w:val="00882BDC"/>
    <w:rsid w:val="00883A54"/>
    <w:rsid w:val="00883D3E"/>
    <w:rsid w:val="0088432F"/>
    <w:rsid w:val="0088503B"/>
    <w:rsid w:val="008854C0"/>
    <w:rsid w:val="00887BF9"/>
    <w:rsid w:val="00887DD1"/>
    <w:rsid w:val="00890131"/>
    <w:rsid w:val="00891328"/>
    <w:rsid w:val="008927A3"/>
    <w:rsid w:val="008932BF"/>
    <w:rsid w:val="00893477"/>
    <w:rsid w:val="00893A97"/>
    <w:rsid w:val="00895487"/>
    <w:rsid w:val="0089596E"/>
    <w:rsid w:val="00895B87"/>
    <w:rsid w:val="00897075"/>
    <w:rsid w:val="00897729"/>
    <w:rsid w:val="00897F71"/>
    <w:rsid w:val="008A1C9A"/>
    <w:rsid w:val="008A1D17"/>
    <w:rsid w:val="008A2430"/>
    <w:rsid w:val="008A363C"/>
    <w:rsid w:val="008A3F48"/>
    <w:rsid w:val="008A4FF4"/>
    <w:rsid w:val="008A51C0"/>
    <w:rsid w:val="008A66F7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71F4"/>
    <w:rsid w:val="008D7F9E"/>
    <w:rsid w:val="008E0F18"/>
    <w:rsid w:val="008E1D2B"/>
    <w:rsid w:val="008E1E83"/>
    <w:rsid w:val="008E240B"/>
    <w:rsid w:val="008E27BE"/>
    <w:rsid w:val="008E2AB0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839"/>
    <w:rsid w:val="008F2CFD"/>
    <w:rsid w:val="008F3300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6A9"/>
    <w:rsid w:val="00920A60"/>
    <w:rsid w:val="00920BC8"/>
    <w:rsid w:val="00921058"/>
    <w:rsid w:val="009217AD"/>
    <w:rsid w:val="009218A5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516B"/>
    <w:rsid w:val="00945A2A"/>
    <w:rsid w:val="0094622B"/>
    <w:rsid w:val="009468DE"/>
    <w:rsid w:val="00946CB1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66A"/>
    <w:rsid w:val="009569B3"/>
    <w:rsid w:val="00956C95"/>
    <w:rsid w:val="009605D1"/>
    <w:rsid w:val="00960AD5"/>
    <w:rsid w:val="00960D6D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9B6"/>
    <w:rsid w:val="0096533F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95B"/>
    <w:rsid w:val="00971AA1"/>
    <w:rsid w:val="0097214C"/>
    <w:rsid w:val="0097259F"/>
    <w:rsid w:val="00972842"/>
    <w:rsid w:val="00972BE3"/>
    <w:rsid w:val="00972FF6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DB3"/>
    <w:rsid w:val="00984029"/>
    <w:rsid w:val="0098497B"/>
    <w:rsid w:val="00984B8A"/>
    <w:rsid w:val="00985C90"/>
    <w:rsid w:val="00985E7C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32D5"/>
    <w:rsid w:val="009B4295"/>
    <w:rsid w:val="009B44B3"/>
    <w:rsid w:val="009B4EED"/>
    <w:rsid w:val="009B4F23"/>
    <w:rsid w:val="009B561C"/>
    <w:rsid w:val="009B6420"/>
    <w:rsid w:val="009B6EB4"/>
    <w:rsid w:val="009C049B"/>
    <w:rsid w:val="009C05C4"/>
    <w:rsid w:val="009C09E1"/>
    <w:rsid w:val="009C0A88"/>
    <w:rsid w:val="009C14A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119E"/>
    <w:rsid w:val="009E1640"/>
    <w:rsid w:val="009E19C3"/>
    <w:rsid w:val="009E19F3"/>
    <w:rsid w:val="009E1B73"/>
    <w:rsid w:val="009E2DAD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440B"/>
    <w:rsid w:val="00A04A3D"/>
    <w:rsid w:val="00A05A10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2F09"/>
    <w:rsid w:val="00A439EE"/>
    <w:rsid w:val="00A43BFC"/>
    <w:rsid w:val="00A44A07"/>
    <w:rsid w:val="00A45AC9"/>
    <w:rsid w:val="00A45E7E"/>
    <w:rsid w:val="00A461C1"/>
    <w:rsid w:val="00A465C0"/>
    <w:rsid w:val="00A46F48"/>
    <w:rsid w:val="00A47DE3"/>
    <w:rsid w:val="00A500E5"/>
    <w:rsid w:val="00A515B9"/>
    <w:rsid w:val="00A52878"/>
    <w:rsid w:val="00A52CE4"/>
    <w:rsid w:val="00A52E2C"/>
    <w:rsid w:val="00A5316A"/>
    <w:rsid w:val="00A531DB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D6"/>
    <w:rsid w:val="00A742F3"/>
    <w:rsid w:val="00A751AC"/>
    <w:rsid w:val="00A75BED"/>
    <w:rsid w:val="00A76043"/>
    <w:rsid w:val="00A76476"/>
    <w:rsid w:val="00A771BB"/>
    <w:rsid w:val="00A80801"/>
    <w:rsid w:val="00A80C04"/>
    <w:rsid w:val="00A816A0"/>
    <w:rsid w:val="00A817B6"/>
    <w:rsid w:val="00A8182B"/>
    <w:rsid w:val="00A826A1"/>
    <w:rsid w:val="00A837C0"/>
    <w:rsid w:val="00A85A3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60"/>
    <w:rsid w:val="00A9657E"/>
    <w:rsid w:val="00A966F8"/>
    <w:rsid w:val="00A96706"/>
    <w:rsid w:val="00A97332"/>
    <w:rsid w:val="00A97774"/>
    <w:rsid w:val="00AA013A"/>
    <w:rsid w:val="00AA07C5"/>
    <w:rsid w:val="00AA0A7D"/>
    <w:rsid w:val="00AA24AC"/>
    <w:rsid w:val="00AA2DA3"/>
    <w:rsid w:val="00AA4832"/>
    <w:rsid w:val="00AA4A23"/>
    <w:rsid w:val="00AA4D00"/>
    <w:rsid w:val="00AA4ED0"/>
    <w:rsid w:val="00AA57C7"/>
    <w:rsid w:val="00AA69D5"/>
    <w:rsid w:val="00AA6E3A"/>
    <w:rsid w:val="00AA6F9A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4276"/>
    <w:rsid w:val="00AB439E"/>
    <w:rsid w:val="00AB4D8D"/>
    <w:rsid w:val="00AB5341"/>
    <w:rsid w:val="00AB550D"/>
    <w:rsid w:val="00AB59EA"/>
    <w:rsid w:val="00AB5A56"/>
    <w:rsid w:val="00AB5AB4"/>
    <w:rsid w:val="00AB6EFA"/>
    <w:rsid w:val="00AB72B1"/>
    <w:rsid w:val="00AB7789"/>
    <w:rsid w:val="00AC0D5A"/>
    <w:rsid w:val="00AC2FD4"/>
    <w:rsid w:val="00AC3DD3"/>
    <w:rsid w:val="00AC4083"/>
    <w:rsid w:val="00AC4B7D"/>
    <w:rsid w:val="00AC55B4"/>
    <w:rsid w:val="00AC5EDC"/>
    <w:rsid w:val="00AC63AC"/>
    <w:rsid w:val="00AC700F"/>
    <w:rsid w:val="00AC7072"/>
    <w:rsid w:val="00AC7227"/>
    <w:rsid w:val="00AC7265"/>
    <w:rsid w:val="00AC7701"/>
    <w:rsid w:val="00AC7ACF"/>
    <w:rsid w:val="00AD0280"/>
    <w:rsid w:val="00AD0798"/>
    <w:rsid w:val="00AD0CB8"/>
    <w:rsid w:val="00AD149A"/>
    <w:rsid w:val="00AD1FBF"/>
    <w:rsid w:val="00AD2380"/>
    <w:rsid w:val="00AD31DD"/>
    <w:rsid w:val="00AD395C"/>
    <w:rsid w:val="00AD4F2A"/>
    <w:rsid w:val="00AD5BD4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78D4"/>
    <w:rsid w:val="00AF018D"/>
    <w:rsid w:val="00AF045E"/>
    <w:rsid w:val="00AF10B3"/>
    <w:rsid w:val="00AF2CAE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27E"/>
    <w:rsid w:val="00B06752"/>
    <w:rsid w:val="00B06CB3"/>
    <w:rsid w:val="00B06F69"/>
    <w:rsid w:val="00B06FD9"/>
    <w:rsid w:val="00B07110"/>
    <w:rsid w:val="00B07F80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D86"/>
    <w:rsid w:val="00B232CE"/>
    <w:rsid w:val="00B2336A"/>
    <w:rsid w:val="00B24652"/>
    <w:rsid w:val="00B2497F"/>
    <w:rsid w:val="00B24B6F"/>
    <w:rsid w:val="00B257BA"/>
    <w:rsid w:val="00B2604F"/>
    <w:rsid w:val="00B26FB8"/>
    <w:rsid w:val="00B27A43"/>
    <w:rsid w:val="00B30D9E"/>
    <w:rsid w:val="00B3134C"/>
    <w:rsid w:val="00B3148E"/>
    <w:rsid w:val="00B318C4"/>
    <w:rsid w:val="00B31BD5"/>
    <w:rsid w:val="00B328A5"/>
    <w:rsid w:val="00B333B2"/>
    <w:rsid w:val="00B333DC"/>
    <w:rsid w:val="00B33B34"/>
    <w:rsid w:val="00B33BDD"/>
    <w:rsid w:val="00B3497A"/>
    <w:rsid w:val="00B34AF2"/>
    <w:rsid w:val="00B34C60"/>
    <w:rsid w:val="00B34EAD"/>
    <w:rsid w:val="00B35535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053"/>
    <w:rsid w:val="00B53110"/>
    <w:rsid w:val="00B53613"/>
    <w:rsid w:val="00B53B62"/>
    <w:rsid w:val="00B540D5"/>
    <w:rsid w:val="00B54228"/>
    <w:rsid w:val="00B55312"/>
    <w:rsid w:val="00B56766"/>
    <w:rsid w:val="00B572E9"/>
    <w:rsid w:val="00B577CB"/>
    <w:rsid w:val="00B579C2"/>
    <w:rsid w:val="00B57C4D"/>
    <w:rsid w:val="00B6013A"/>
    <w:rsid w:val="00B605D3"/>
    <w:rsid w:val="00B60C4D"/>
    <w:rsid w:val="00B618FA"/>
    <w:rsid w:val="00B62715"/>
    <w:rsid w:val="00B62CE2"/>
    <w:rsid w:val="00B62D3D"/>
    <w:rsid w:val="00B62DF8"/>
    <w:rsid w:val="00B630BC"/>
    <w:rsid w:val="00B633D3"/>
    <w:rsid w:val="00B63757"/>
    <w:rsid w:val="00B64E66"/>
    <w:rsid w:val="00B6548B"/>
    <w:rsid w:val="00B65E7A"/>
    <w:rsid w:val="00B65EB1"/>
    <w:rsid w:val="00B66369"/>
    <w:rsid w:val="00B66872"/>
    <w:rsid w:val="00B66DE3"/>
    <w:rsid w:val="00B67272"/>
    <w:rsid w:val="00B6783C"/>
    <w:rsid w:val="00B67E35"/>
    <w:rsid w:val="00B67F8B"/>
    <w:rsid w:val="00B70DDD"/>
    <w:rsid w:val="00B71210"/>
    <w:rsid w:val="00B7194F"/>
    <w:rsid w:val="00B73315"/>
    <w:rsid w:val="00B73463"/>
    <w:rsid w:val="00B73E69"/>
    <w:rsid w:val="00B7455E"/>
    <w:rsid w:val="00B74813"/>
    <w:rsid w:val="00B7497D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C86"/>
    <w:rsid w:val="00B83100"/>
    <w:rsid w:val="00B835DE"/>
    <w:rsid w:val="00B837C4"/>
    <w:rsid w:val="00B8389C"/>
    <w:rsid w:val="00B83C5E"/>
    <w:rsid w:val="00B83EF7"/>
    <w:rsid w:val="00B84354"/>
    <w:rsid w:val="00B844E9"/>
    <w:rsid w:val="00B852E7"/>
    <w:rsid w:val="00B86233"/>
    <w:rsid w:val="00B86750"/>
    <w:rsid w:val="00B86C0D"/>
    <w:rsid w:val="00B91C1F"/>
    <w:rsid w:val="00B92026"/>
    <w:rsid w:val="00B92630"/>
    <w:rsid w:val="00B92CA3"/>
    <w:rsid w:val="00B931FB"/>
    <w:rsid w:val="00B93952"/>
    <w:rsid w:val="00B949AA"/>
    <w:rsid w:val="00B95119"/>
    <w:rsid w:val="00B95B3C"/>
    <w:rsid w:val="00B95DDE"/>
    <w:rsid w:val="00B95F9F"/>
    <w:rsid w:val="00B96A51"/>
    <w:rsid w:val="00B96FE9"/>
    <w:rsid w:val="00B972BA"/>
    <w:rsid w:val="00B97766"/>
    <w:rsid w:val="00BA0266"/>
    <w:rsid w:val="00BA02AD"/>
    <w:rsid w:val="00BA0A60"/>
    <w:rsid w:val="00BA1273"/>
    <w:rsid w:val="00BA13F2"/>
    <w:rsid w:val="00BA17B6"/>
    <w:rsid w:val="00BA1B48"/>
    <w:rsid w:val="00BA1F82"/>
    <w:rsid w:val="00BA2ED3"/>
    <w:rsid w:val="00BA33CD"/>
    <w:rsid w:val="00BA367D"/>
    <w:rsid w:val="00BA413F"/>
    <w:rsid w:val="00BA4403"/>
    <w:rsid w:val="00BA5F6B"/>
    <w:rsid w:val="00BA604D"/>
    <w:rsid w:val="00BA684E"/>
    <w:rsid w:val="00BA69CB"/>
    <w:rsid w:val="00BB001D"/>
    <w:rsid w:val="00BB00EA"/>
    <w:rsid w:val="00BB045E"/>
    <w:rsid w:val="00BB0B71"/>
    <w:rsid w:val="00BB19F5"/>
    <w:rsid w:val="00BB1ABE"/>
    <w:rsid w:val="00BB1B08"/>
    <w:rsid w:val="00BB1F61"/>
    <w:rsid w:val="00BB2C79"/>
    <w:rsid w:val="00BB2F4C"/>
    <w:rsid w:val="00BB2F5F"/>
    <w:rsid w:val="00BB304D"/>
    <w:rsid w:val="00BB3444"/>
    <w:rsid w:val="00BB3979"/>
    <w:rsid w:val="00BB4A7E"/>
    <w:rsid w:val="00BB51C3"/>
    <w:rsid w:val="00BB5586"/>
    <w:rsid w:val="00BB5AEE"/>
    <w:rsid w:val="00BB6039"/>
    <w:rsid w:val="00BB66F6"/>
    <w:rsid w:val="00BB7E71"/>
    <w:rsid w:val="00BB7EB5"/>
    <w:rsid w:val="00BC06F8"/>
    <w:rsid w:val="00BC08C1"/>
    <w:rsid w:val="00BC1493"/>
    <w:rsid w:val="00BC16FB"/>
    <w:rsid w:val="00BC18FF"/>
    <w:rsid w:val="00BC1A0A"/>
    <w:rsid w:val="00BC2391"/>
    <w:rsid w:val="00BC322A"/>
    <w:rsid w:val="00BC3A95"/>
    <w:rsid w:val="00BC4110"/>
    <w:rsid w:val="00BC417B"/>
    <w:rsid w:val="00BC47C8"/>
    <w:rsid w:val="00BC4A39"/>
    <w:rsid w:val="00BC50BE"/>
    <w:rsid w:val="00BC521A"/>
    <w:rsid w:val="00BC52B5"/>
    <w:rsid w:val="00BC5531"/>
    <w:rsid w:val="00BC597C"/>
    <w:rsid w:val="00BC5DEA"/>
    <w:rsid w:val="00BC5E9D"/>
    <w:rsid w:val="00BC5FF4"/>
    <w:rsid w:val="00BC66D9"/>
    <w:rsid w:val="00BC6A95"/>
    <w:rsid w:val="00BC7194"/>
    <w:rsid w:val="00BC71F7"/>
    <w:rsid w:val="00BC77C6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EE5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705E"/>
    <w:rsid w:val="00BF7408"/>
    <w:rsid w:val="00BF765A"/>
    <w:rsid w:val="00C00082"/>
    <w:rsid w:val="00C00320"/>
    <w:rsid w:val="00C01A2A"/>
    <w:rsid w:val="00C0230D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6E80"/>
    <w:rsid w:val="00C06FF3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4E55"/>
    <w:rsid w:val="00C16933"/>
    <w:rsid w:val="00C175BC"/>
    <w:rsid w:val="00C17FC7"/>
    <w:rsid w:val="00C207DB"/>
    <w:rsid w:val="00C20912"/>
    <w:rsid w:val="00C20CC7"/>
    <w:rsid w:val="00C20DFF"/>
    <w:rsid w:val="00C2174F"/>
    <w:rsid w:val="00C22389"/>
    <w:rsid w:val="00C234D2"/>
    <w:rsid w:val="00C23B88"/>
    <w:rsid w:val="00C23F9B"/>
    <w:rsid w:val="00C24136"/>
    <w:rsid w:val="00C24A35"/>
    <w:rsid w:val="00C24B0D"/>
    <w:rsid w:val="00C24EB0"/>
    <w:rsid w:val="00C251F7"/>
    <w:rsid w:val="00C25440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3AC3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308A"/>
    <w:rsid w:val="00C539D6"/>
    <w:rsid w:val="00C544AD"/>
    <w:rsid w:val="00C55070"/>
    <w:rsid w:val="00C5604B"/>
    <w:rsid w:val="00C56F0E"/>
    <w:rsid w:val="00C570AC"/>
    <w:rsid w:val="00C600A9"/>
    <w:rsid w:val="00C60DD0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C82"/>
    <w:rsid w:val="00C66E0C"/>
    <w:rsid w:val="00C67D25"/>
    <w:rsid w:val="00C67EC0"/>
    <w:rsid w:val="00C70520"/>
    <w:rsid w:val="00C70823"/>
    <w:rsid w:val="00C70B1D"/>
    <w:rsid w:val="00C716EA"/>
    <w:rsid w:val="00C71CEB"/>
    <w:rsid w:val="00C71F8B"/>
    <w:rsid w:val="00C72534"/>
    <w:rsid w:val="00C72C4D"/>
    <w:rsid w:val="00C7334E"/>
    <w:rsid w:val="00C74401"/>
    <w:rsid w:val="00C746C7"/>
    <w:rsid w:val="00C748C0"/>
    <w:rsid w:val="00C74DFF"/>
    <w:rsid w:val="00C75068"/>
    <w:rsid w:val="00C762D3"/>
    <w:rsid w:val="00C76687"/>
    <w:rsid w:val="00C76BBF"/>
    <w:rsid w:val="00C77186"/>
    <w:rsid w:val="00C77443"/>
    <w:rsid w:val="00C80403"/>
    <w:rsid w:val="00C80A1F"/>
    <w:rsid w:val="00C81020"/>
    <w:rsid w:val="00C814D4"/>
    <w:rsid w:val="00C81CDA"/>
    <w:rsid w:val="00C829D6"/>
    <w:rsid w:val="00C82DA1"/>
    <w:rsid w:val="00C8321E"/>
    <w:rsid w:val="00C8364F"/>
    <w:rsid w:val="00C83724"/>
    <w:rsid w:val="00C85240"/>
    <w:rsid w:val="00C85AF9"/>
    <w:rsid w:val="00C85D32"/>
    <w:rsid w:val="00C86F0A"/>
    <w:rsid w:val="00C87453"/>
    <w:rsid w:val="00C87702"/>
    <w:rsid w:val="00C9123C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A2F"/>
    <w:rsid w:val="00CD3DEC"/>
    <w:rsid w:val="00CD404A"/>
    <w:rsid w:val="00CD4239"/>
    <w:rsid w:val="00CD4740"/>
    <w:rsid w:val="00CD4939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5228"/>
    <w:rsid w:val="00CF5B91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AD9"/>
    <w:rsid w:val="00D27C0A"/>
    <w:rsid w:val="00D308CC"/>
    <w:rsid w:val="00D30D27"/>
    <w:rsid w:val="00D32596"/>
    <w:rsid w:val="00D32E39"/>
    <w:rsid w:val="00D330C9"/>
    <w:rsid w:val="00D34AB7"/>
    <w:rsid w:val="00D34CD5"/>
    <w:rsid w:val="00D34D1B"/>
    <w:rsid w:val="00D34EBC"/>
    <w:rsid w:val="00D35616"/>
    <w:rsid w:val="00D35F94"/>
    <w:rsid w:val="00D36116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218A"/>
    <w:rsid w:val="00D722C1"/>
    <w:rsid w:val="00D72CF5"/>
    <w:rsid w:val="00D73DF9"/>
    <w:rsid w:val="00D74205"/>
    <w:rsid w:val="00D7499C"/>
    <w:rsid w:val="00D74A12"/>
    <w:rsid w:val="00D74D51"/>
    <w:rsid w:val="00D751C7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C42"/>
    <w:rsid w:val="00D84E08"/>
    <w:rsid w:val="00D8576F"/>
    <w:rsid w:val="00D862F4"/>
    <w:rsid w:val="00D8633C"/>
    <w:rsid w:val="00D86C25"/>
    <w:rsid w:val="00D86EEA"/>
    <w:rsid w:val="00D8776A"/>
    <w:rsid w:val="00D87A3F"/>
    <w:rsid w:val="00D90E27"/>
    <w:rsid w:val="00D90F58"/>
    <w:rsid w:val="00D91844"/>
    <w:rsid w:val="00D9192C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983"/>
    <w:rsid w:val="00DA2BCC"/>
    <w:rsid w:val="00DA3649"/>
    <w:rsid w:val="00DA4C92"/>
    <w:rsid w:val="00DA66C5"/>
    <w:rsid w:val="00DA6E21"/>
    <w:rsid w:val="00DA70FE"/>
    <w:rsid w:val="00DA75C8"/>
    <w:rsid w:val="00DB112B"/>
    <w:rsid w:val="00DB1156"/>
    <w:rsid w:val="00DB125D"/>
    <w:rsid w:val="00DB1E23"/>
    <w:rsid w:val="00DB1E49"/>
    <w:rsid w:val="00DB2183"/>
    <w:rsid w:val="00DB2C3D"/>
    <w:rsid w:val="00DB3235"/>
    <w:rsid w:val="00DB361D"/>
    <w:rsid w:val="00DB3737"/>
    <w:rsid w:val="00DB4C71"/>
    <w:rsid w:val="00DB52D3"/>
    <w:rsid w:val="00DB5785"/>
    <w:rsid w:val="00DB5F49"/>
    <w:rsid w:val="00DB5FBB"/>
    <w:rsid w:val="00DB632E"/>
    <w:rsid w:val="00DB7626"/>
    <w:rsid w:val="00DB76FB"/>
    <w:rsid w:val="00DB78F2"/>
    <w:rsid w:val="00DC0119"/>
    <w:rsid w:val="00DC01B6"/>
    <w:rsid w:val="00DC1848"/>
    <w:rsid w:val="00DC1875"/>
    <w:rsid w:val="00DC1A75"/>
    <w:rsid w:val="00DC2068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58E"/>
    <w:rsid w:val="00DD6E54"/>
    <w:rsid w:val="00DE0A53"/>
    <w:rsid w:val="00DE16D1"/>
    <w:rsid w:val="00DE244F"/>
    <w:rsid w:val="00DE29F8"/>
    <w:rsid w:val="00DE35CC"/>
    <w:rsid w:val="00DE361A"/>
    <w:rsid w:val="00DE3B07"/>
    <w:rsid w:val="00DE3CBC"/>
    <w:rsid w:val="00DE458E"/>
    <w:rsid w:val="00DE4FB6"/>
    <w:rsid w:val="00DE56E0"/>
    <w:rsid w:val="00DE57AE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C75"/>
    <w:rsid w:val="00E15745"/>
    <w:rsid w:val="00E15DAC"/>
    <w:rsid w:val="00E16503"/>
    <w:rsid w:val="00E1702B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4856"/>
    <w:rsid w:val="00E74A82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7669"/>
    <w:rsid w:val="00E90B9C"/>
    <w:rsid w:val="00E91038"/>
    <w:rsid w:val="00E911D0"/>
    <w:rsid w:val="00E91ADE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157A"/>
    <w:rsid w:val="00EA23B0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765"/>
    <w:rsid w:val="00EA4AFC"/>
    <w:rsid w:val="00EA506E"/>
    <w:rsid w:val="00EA5D60"/>
    <w:rsid w:val="00EA6313"/>
    <w:rsid w:val="00EA65D1"/>
    <w:rsid w:val="00EA6738"/>
    <w:rsid w:val="00EA7318"/>
    <w:rsid w:val="00EA736C"/>
    <w:rsid w:val="00EB028E"/>
    <w:rsid w:val="00EB0889"/>
    <w:rsid w:val="00EB0B74"/>
    <w:rsid w:val="00EB0BCA"/>
    <w:rsid w:val="00EB1324"/>
    <w:rsid w:val="00EB1481"/>
    <w:rsid w:val="00EB16A6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BE7"/>
    <w:rsid w:val="00ED6CCE"/>
    <w:rsid w:val="00ED764D"/>
    <w:rsid w:val="00ED7C9D"/>
    <w:rsid w:val="00ED7E20"/>
    <w:rsid w:val="00ED7E2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317"/>
    <w:rsid w:val="00EE40DF"/>
    <w:rsid w:val="00EE4300"/>
    <w:rsid w:val="00EE4487"/>
    <w:rsid w:val="00EE45BA"/>
    <w:rsid w:val="00EE4616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58D"/>
    <w:rsid w:val="00F043DD"/>
    <w:rsid w:val="00F0491C"/>
    <w:rsid w:val="00F04A70"/>
    <w:rsid w:val="00F052DE"/>
    <w:rsid w:val="00F05301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5843"/>
    <w:rsid w:val="00F15885"/>
    <w:rsid w:val="00F15C31"/>
    <w:rsid w:val="00F16203"/>
    <w:rsid w:val="00F16236"/>
    <w:rsid w:val="00F16918"/>
    <w:rsid w:val="00F16E05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440F"/>
    <w:rsid w:val="00F244F1"/>
    <w:rsid w:val="00F2453B"/>
    <w:rsid w:val="00F258E8"/>
    <w:rsid w:val="00F25F30"/>
    <w:rsid w:val="00F26117"/>
    <w:rsid w:val="00F26228"/>
    <w:rsid w:val="00F27007"/>
    <w:rsid w:val="00F27CA5"/>
    <w:rsid w:val="00F3015B"/>
    <w:rsid w:val="00F301D6"/>
    <w:rsid w:val="00F302A0"/>
    <w:rsid w:val="00F30754"/>
    <w:rsid w:val="00F30AF9"/>
    <w:rsid w:val="00F31046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401DA"/>
    <w:rsid w:val="00F40990"/>
    <w:rsid w:val="00F40BBB"/>
    <w:rsid w:val="00F40FAC"/>
    <w:rsid w:val="00F41518"/>
    <w:rsid w:val="00F418BB"/>
    <w:rsid w:val="00F41ABC"/>
    <w:rsid w:val="00F42408"/>
    <w:rsid w:val="00F42486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5CD"/>
    <w:rsid w:val="00F5607F"/>
    <w:rsid w:val="00F564A5"/>
    <w:rsid w:val="00F56FBA"/>
    <w:rsid w:val="00F570D6"/>
    <w:rsid w:val="00F57242"/>
    <w:rsid w:val="00F57469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A2A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32C"/>
    <w:rsid w:val="00F81346"/>
    <w:rsid w:val="00F81870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9A7"/>
    <w:rsid w:val="00FA4A4C"/>
    <w:rsid w:val="00FA5724"/>
    <w:rsid w:val="00FA6B0F"/>
    <w:rsid w:val="00FA6C66"/>
    <w:rsid w:val="00FA71AE"/>
    <w:rsid w:val="00FA7575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C0236"/>
    <w:rsid w:val="00FC1DC5"/>
    <w:rsid w:val="00FC371F"/>
    <w:rsid w:val="00FC3880"/>
    <w:rsid w:val="00FC47AA"/>
    <w:rsid w:val="00FC4879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9A"/>
    <w:rsid w:val="00FD65D2"/>
    <w:rsid w:val="00FD67B0"/>
    <w:rsid w:val="00FD69D2"/>
    <w:rsid w:val="00FD7392"/>
    <w:rsid w:val="00FD7497"/>
    <w:rsid w:val="00FD7673"/>
    <w:rsid w:val="00FD77F4"/>
    <w:rsid w:val="00FD7BE6"/>
    <w:rsid w:val="00FE1661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15">
      <o:colormenu v:ext="edit" strokecolor="none"/>
    </o:shapedefaults>
    <o:shapelayout v:ext="edit">
      <o:idmap v:ext="edit" data="1,2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3896586533132932E-2"/>
          <c:y val="2.70813712778619E-2"/>
          <c:w val="0.91967213114754098"/>
          <c:h val="0.72105432575644957"/>
        </c:manualLayout>
      </c:layout>
      <c:lineChart>
        <c:grouping val="standard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639105152094151E-2"/>
                  <c:y val="4.596164557161256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5.7238738664446833E-4"/>
                  <c:y val="-0.13250307045624521"/>
                </c:manualLayout>
              </c:layout>
              <c:dLblPos val="b"/>
              <c:showVal val="1"/>
            </c:dLbl>
            <c:dLbl>
              <c:idx val="2"/>
              <c:layout>
                <c:manualLayout>
                  <c:x val="4.1311890362729026E-3"/>
                  <c:y val="-1.2067058053582096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4.1755981031529922E-2"/>
                  <c:y val="-6.573289594669344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2593121455672747E-3"/>
                  <c:y val="7.6366651316501326E-3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4.0773703860272896E-2"/>
                  <c:y val="-6.614618265749444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5464433250551502E-2"/>
                  <c:y val="-5.839680296835310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7134695060923643E-2"/>
                  <c:y val="-6.523989668847676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3876956676854352E-2"/>
                  <c:y val="-5.369020860824431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4.566946494713211E-3"/>
                  <c:y val="-0.12849814960268124"/>
                </c:manualLayout>
              </c:layout>
              <c:dLblPos val="b"/>
              <c:showVal val="1"/>
            </c:dLbl>
            <c:dLbl>
              <c:idx val="10"/>
              <c:layout>
                <c:manualLayout>
                  <c:x val="-3.5001914034254802E-2"/>
                  <c:y val="-7.267499569704562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1.562511664324398E-2"/>
                  <c:y val="-0.13790219930472394"/>
                </c:manualLayout>
              </c:layout>
              <c:dLblPos val="b"/>
              <c:showVal val="1"/>
            </c:dLbl>
            <c:dLbl>
              <c:idx val="12"/>
              <c:layout>
                <c:manualLayout>
                  <c:x val="0"/>
                  <c:y val="5.468483841962005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35917560595061E-2"/>
                  <c:y val="-0.10472387597891875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7</a:t>
                    </a:r>
                    <a:r>
                      <a:rPr lang="en-US"/>
                      <a:t>,</a:t>
                    </a:r>
                    <a:r>
                      <a:rPr lang="ru-RU"/>
                      <a:t>4</a:t>
                    </a:r>
                    <a:endParaRPr lang="en-US"/>
                  </a:p>
                </c:rich>
              </c:tx>
              <c:dLblPos val="b"/>
              <c:showVal val="1"/>
            </c:dLbl>
            <c:dLbl>
              <c:idx val="14"/>
              <c:layout>
                <c:manualLayout>
                  <c:x val="-4.8279579172526066E-2"/>
                  <c:y val="-5.1177901542794925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1.3710130601689085E-5"/>
                  <c:y val="-1.165530018686814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ysClr val="windowText" lastClr="000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lang="ru-RU" b="0" baseline="0">
                        <a:solidFill>
                          <a:sysClr val="windowText" lastClr="000000"/>
                        </a:solidFill>
                        <a:latin typeface="Arial" pitchFamily="34" charset="0"/>
                        <a:cs typeface="Arial" pitchFamily="34" charset="0"/>
                      </a:rPr>
                      <a:t>98,6</a:t>
                    </a:r>
                    <a:endParaRPr lang="en-US" b="0" baseline="0">
                      <a:solidFill>
                        <a:sysClr val="windowText" lastClr="000000"/>
                      </a:solidFill>
                      <a:latin typeface="Arial" pitchFamily="34" charset="0"/>
                      <a:cs typeface="Arial" pitchFamily="34" charset="0"/>
                    </a:endParaRPr>
                  </a:p>
                </c:rich>
              </c:tx>
              <c:numFmt formatCode="0.0" sourceLinked="0"/>
              <c:spPr>
                <a:noFill/>
                <a:ln w="25399">
                  <a:noFill/>
                </a:ln>
              </c:spPr>
              <c:dLblPos val="b"/>
              <c:showVal val="1"/>
            </c:dLbl>
            <c:dLbl>
              <c:idx val="16"/>
              <c:layout>
                <c:manualLayout>
                  <c:x val="-2.8511218355770092E-2"/>
                  <c:y val="6.4694298999427524E-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7"/>
              <c:layout>
                <c:manualLayout>
                  <c:x val="-1.9916518499703814E-2"/>
                  <c:y val="6.867141607299087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1510633221137478E-2"/>
                  <c:y val="-0.11844258796918677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19"/>
              <c:layout>
                <c:manualLayout>
                  <c:x val="-1.5061149271234723E-2"/>
                  <c:y val="-0.14449138979578952"/>
                </c:manualLayout>
              </c:layout>
              <c:numFmt formatCode="0.0" sourceLinked="0"/>
              <c:spPr>
                <a:noFill/>
                <a:ln w="25399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b"/>
              <c:showVal val="1"/>
            </c:dLbl>
            <c:dLbl>
              <c:idx val="20"/>
              <c:layout>
                <c:manualLayout>
                  <c:x val="6.4401766026829371E-3"/>
                  <c:y val="-4.0228965281778765E-2"/>
                </c:manualLayout>
              </c:layout>
              <c:dLblPos val="b"/>
              <c:showVal val="1"/>
            </c:dLbl>
            <c:dLbl>
              <c:idx val="21"/>
              <c:layout>
                <c:manualLayout>
                  <c:x val="-8.5972812392648267E-3"/>
                  <c:y val="-0.12171435887587222"/>
                </c:manualLayout>
              </c:layout>
              <c:dLblPos val="b"/>
              <c:showVal val="1"/>
            </c:dLbl>
            <c:dLbl>
              <c:idx val="22"/>
              <c:layout>
                <c:manualLayout>
                  <c:x val="0"/>
                  <c:y val="-0.1461318097432942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102,9</a:t>
                    </a:r>
                    <a:endParaRPr lang="en-US"/>
                  </a:p>
                </c:rich>
              </c:tx>
              <c:dLblPos val="b"/>
              <c:showVal val="1"/>
            </c:dLbl>
            <c:dLbl>
              <c:idx val="23"/>
              <c:layout>
                <c:manualLayout>
                  <c:x val="-3.6559139784946251E-2"/>
                  <c:y val="-5.070906060696785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95,2</a:t>
                    </a:r>
                    <a:endParaRPr lang="en-US"/>
                  </a:p>
                </c:rich>
              </c:tx>
              <c:dLblPos val="b"/>
              <c:showVal val="1"/>
            </c:dLbl>
            <c:numFmt formatCode="0.0" sourceLinked="0"/>
            <c:spPr>
              <a:noFill/>
              <a:ln w="25399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Sheet1!$O$1:$AA$1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Sheet1!$O$2:$AA$2</c:f>
              <c:numCache>
                <c:formatCode>0.0</c:formatCode>
                <c:ptCount val="13"/>
                <c:pt idx="0" formatCode="General">
                  <c:v>104.7</c:v>
                </c:pt>
                <c:pt idx="1">
                  <c:v>109.8</c:v>
                </c:pt>
                <c:pt idx="2" formatCode="General">
                  <c:v>108.1</c:v>
                </c:pt>
                <c:pt idx="3">
                  <c:v>107.8</c:v>
                </c:pt>
                <c:pt idx="4" formatCode="General">
                  <c:v>107.3</c:v>
                </c:pt>
                <c:pt idx="5">
                  <c:v>106.8</c:v>
                </c:pt>
                <c:pt idx="6" formatCode="General">
                  <c:v>106.7</c:v>
                </c:pt>
                <c:pt idx="7">
                  <c:v>106.1</c:v>
                </c:pt>
                <c:pt idx="8">
                  <c:v>106</c:v>
                </c:pt>
                <c:pt idx="9">
                  <c:v>106</c:v>
                </c:pt>
                <c:pt idx="10">
                  <c:v>105</c:v>
                </c:pt>
                <c:pt idx="11">
                  <c:v>103.1</c:v>
                </c:pt>
                <c:pt idx="12">
                  <c:v>99.3</c:v>
                </c:pt>
              </c:numCache>
            </c:numRef>
          </c:val>
          <c:smooth val="1"/>
        </c:ser>
        <c:dLbls>
          <c:showVal val="1"/>
        </c:dLbls>
        <c:marker val="1"/>
        <c:axId val="64165376"/>
        <c:axId val="64166912"/>
      </c:lineChart>
      <c:catAx>
        <c:axId val="64165376"/>
        <c:scaling>
          <c:orientation val="minMax"/>
        </c:scaling>
        <c:axPos val="b"/>
        <c:numFmt formatCode="General" sourceLinked="0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166912"/>
        <c:crossesAt val="100"/>
        <c:auto val="1"/>
        <c:lblAlgn val="ctr"/>
        <c:lblOffset val="100"/>
        <c:tickLblSkip val="1"/>
        <c:tickMarkSkip val="1"/>
      </c:catAx>
      <c:valAx>
        <c:axId val="64166912"/>
        <c:scaling>
          <c:orientation val="minMax"/>
          <c:max val="115"/>
          <c:min val="95"/>
        </c:scaling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165376"/>
        <c:crosses val="autoZero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2.689075630252101E-2"/>
          <c:y val="7.0739549839229032E-2"/>
          <c:w val="0.66386554621856986"/>
          <c:h val="0.80707395498392287"/>
        </c:manualLayout>
      </c:layout>
      <c:barChart>
        <c:barDir val="bar"/>
        <c:grouping val="stacked"/>
        <c:ser>
          <c:idx val="1"/>
          <c:order val="0"/>
          <c:tx>
            <c:strRef>
              <c:f>Sheet1!$A$2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058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400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80,9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75,0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65,4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46,2</a:t>
                    </a:r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25,0</a:t>
                    </a:r>
                  </a:p>
                </c:rich>
              </c:tx>
              <c:showVal val="1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21,4</a:t>
                    </a:r>
                  </a:p>
                </c:rich>
              </c:tx>
              <c:showVal val="1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8,6</a:t>
                    </a:r>
                  </a:p>
                </c:rich>
              </c:tx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7,5</a:t>
                    </a:r>
                  </a:p>
                </c:rich>
              </c:tx>
              <c:showVal val="1"/>
            </c:dLbl>
            <c:dLbl>
              <c:idx val="8"/>
              <c:layout/>
              <c:tx>
                <c:rich>
                  <a:bodyPr/>
                  <a:lstStyle/>
                  <a:p>
                    <a:r>
                      <a:rPr lang="en-US"/>
                      <a:t>14,0</a:t>
                    </a:r>
                  </a:p>
                </c:rich>
              </c:tx>
              <c:showVal val="1"/>
            </c:dLbl>
            <c:dLbl>
              <c:idx val="9"/>
              <c:layout>
                <c:manualLayout>
                  <c:x val="-1.1022927689594361E-2"/>
                  <c:y val="1.6298935516521551E-6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9,9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Говядина</c:v>
                </c:pt>
                <c:pt idx="5">
                  <c:v>Пиво</c:v>
                </c:pt>
                <c:pt idx="6">
                  <c:v>Безалкогольные напитки</c:v>
                </c:pt>
                <c:pt idx="7">
                  <c:v>Воды минеральные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Sheet1!$B$2:$K$2</c:f>
              <c:numCache>
                <c:formatCode>0.0</c:formatCode>
                <c:ptCount val="10"/>
                <c:pt idx="0">
                  <c:v>-80.900000000000006</c:v>
                </c:pt>
                <c:pt idx="1">
                  <c:v>-75</c:v>
                </c:pt>
                <c:pt idx="2">
                  <c:v>-65.400000000000006</c:v>
                </c:pt>
                <c:pt idx="3">
                  <c:v>-46.2</c:v>
                </c:pt>
                <c:pt idx="4">
                  <c:v>-25</c:v>
                </c:pt>
                <c:pt idx="5">
                  <c:v>-21.4</c:v>
                </c:pt>
                <c:pt idx="6">
                  <c:v>-18.600000000000001</c:v>
                </c:pt>
                <c:pt idx="7">
                  <c:v>-17.5</c:v>
                </c:pt>
                <c:pt idx="8">
                  <c:v>-14</c:v>
                </c:pt>
                <c:pt idx="9">
                  <c:v>-9.9</c:v>
                </c:pt>
              </c:numCache>
            </c:numRef>
          </c:val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0588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400">
              <a:noFill/>
            </a:ln>
          </c:spPr>
          <c:dLbls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Sheet1!$B$1:$K$1</c:f>
              <c:strCache>
                <c:ptCount val="10"/>
                <c:pt idx="0">
                  <c:v>Маргарин</c:v>
                </c:pt>
                <c:pt idx="1">
                  <c:v>Соки фруктовые и овощные</c:v>
                </c:pt>
                <c:pt idx="2">
                  <c:v>Вина виноградные</c:v>
                </c:pt>
                <c:pt idx="3">
                  <c:v>Макаронные изделия</c:v>
                </c:pt>
                <c:pt idx="4">
                  <c:v>Говядина</c:v>
                </c:pt>
                <c:pt idx="5">
                  <c:v>Пиво</c:v>
                </c:pt>
                <c:pt idx="6">
                  <c:v>Безалкогольные напитки</c:v>
                </c:pt>
                <c:pt idx="7">
                  <c:v>Воды минеральные</c:v>
                </c:pt>
                <c:pt idx="8">
                  <c:v>Хлеб и мучные кондитерские изделия</c:v>
                </c:pt>
                <c:pt idx="9">
                  <c:v>Свинина</c:v>
                </c:pt>
              </c:strCache>
            </c:strRef>
          </c:cat>
          <c:val>
            <c:numRef>
              <c:f>Sheet1!$B$3:$K$3</c:f>
              <c:numCache>
                <c:formatCode>0.0</c:formatCode>
                <c:ptCount val="10"/>
                <c:pt idx="0">
                  <c:v>19.099999999999987</c:v>
                </c:pt>
                <c:pt idx="1">
                  <c:v>25</c:v>
                </c:pt>
                <c:pt idx="2">
                  <c:v>34.600000000000009</c:v>
                </c:pt>
                <c:pt idx="3">
                  <c:v>53.8</c:v>
                </c:pt>
                <c:pt idx="4">
                  <c:v>75</c:v>
                </c:pt>
                <c:pt idx="5">
                  <c:v>78.599999999999994</c:v>
                </c:pt>
                <c:pt idx="6">
                  <c:v>81.400000000000006</c:v>
                </c:pt>
                <c:pt idx="7">
                  <c:v>82.5</c:v>
                </c:pt>
                <c:pt idx="8">
                  <c:v>86</c:v>
                </c:pt>
                <c:pt idx="9">
                  <c:v>90.1</c:v>
                </c:pt>
              </c:numCache>
            </c:numRef>
          </c:val>
        </c:ser>
        <c:dLbls>
          <c:showVal val="1"/>
        </c:dLbls>
        <c:gapWidth val="60"/>
        <c:overlap val="100"/>
        <c:axId val="64663552"/>
        <c:axId val="64665088"/>
      </c:barChart>
      <c:catAx>
        <c:axId val="64663552"/>
        <c:scaling>
          <c:orientation val="minMax"/>
        </c:scaling>
        <c:delete val="1"/>
        <c:axPos val="l"/>
        <c:tickLblPos val="none"/>
        <c:crossAx val="64665088"/>
        <c:crosses val="autoZero"/>
        <c:lblAlgn val="ctr"/>
        <c:lblOffset val="100"/>
      </c:catAx>
      <c:valAx>
        <c:axId val="64665088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4663552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400">
          <a:noFill/>
        </a:ln>
      </c:spPr>
    </c:plotArea>
    <c:legend>
      <c:legendPos val="b"/>
      <c:layout>
        <c:manualLayout>
          <c:xMode val="edge"/>
          <c:yMode val="edge"/>
          <c:x val="0.14453781512605043"/>
          <c:y val="0.93247588424438665"/>
          <c:w val="0.71092436974789919"/>
          <c:h val="5.1446945337620578E-2"/>
        </c:manualLayout>
      </c:layout>
      <c:spPr>
        <a:noFill/>
        <a:ln w="25400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8.2944493049480657E-3"/>
          <c:y val="2.6934796415754358E-2"/>
          <c:w val="0.65378151260514727"/>
          <c:h val="0.81052631578947354"/>
        </c:manualLayout>
      </c:layout>
      <c:barChart>
        <c:barDir val="bar"/>
        <c:grouping val="stacked"/>
        <c:ser>
          <c:idx val="1"/>
          <c:order val="0"/>
          <c:tx>
            <c:strRef>
              <c:f>Sheet1!$A$2:$B$2</c:f>
              <c:strCache>
                <c:ptCount val="1"/>
                <c:pt idx="0">
                  <c:v>Иностранного происхождения</c:v>
                </c:pt>
              </c:strCache>
            </c:strRef>
          </c:tx>
          <c:spPr>
            <a:gradFill rotWithShape="0">
              <a:gsLst>
                <a:gs pos="0">
                  <a:srgbClr val="FF9900"/>
                </a:gs>
                <a:gs pos="50000">
                  <a:srgbClr val="FF9900">
                    <a:gamma/>
                    <a:tint val="59608"/>
                    <a:invGamma/>
                  </a:srgbClr>
                </a:gs>
                <a:gs pos="100000">
                  <a:srgbClr val="FF99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99,8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96,6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81,9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59,9</a:t>
                    </a:r>
                  </a:p>
                </c:rich>
              </c:tx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53,5</a:t>
                    </a:r>
                  </a:p>
                </c:rich>
              </c:tx>
              <c:showVal val="1"/>
            </c:dLbl>
            <c:dLbl>
              <c:idx val="5"/>
              <c:layout/>
              <c:tx>
                <c:rich>
                  <a:bodyPr/>
                  <a:lstStyle/>
                  <a:p>
                    <a:r>
                      <a:rPr lang="en-US"/>
                      <a:t>43,6</a:t>
                    </a:r>
                  </a:p>
                </c:rich>
              </c:tx>
              <c:showVal val="1"/>
            </c:dLbl>
            <c:dLbl>
              <c:idx val="6"/>
              <c:layout/>
              <c:tx>
                <c:rich>
                  <a:bodyPr/>
                  <a:lstStyle/>
                  <a:p>
                    <a:r>
                      <a:rPr lang="en-US"/>
                      <a:t>39,9</a:t>
                    </a:r>
                  </a:p>
                </c:rich>
              </c:tx>
              <c:showVal val="1"/>
            </c:dLbl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28,5</a:t>
                    </a:r>
                  </a:p>
                </c:rich>
              </c:tx>
              <c:showVal val="1"/>
            </c:dLbl>
            <c:dLbl>
              <c:idx val="8"/>
              <c:tx>
                <c:rich>
                  <a:bodyPr/>
                  <a:lstStyle/>
                  <a:p>
                    <a:r>
                      <a:rPr lang="en-US"/>
                      <a:t>36,0</a:t>
                    </a:r>
                  </a:p>
                </c:rich>
              </c:tx>
              <c:showVal val="1"/>
            </c:dLbl>
            <c:dLbl>
              <c:idx val="9"/>
              <c:tx>
                <c:rich>
                  <a:bodyPr/>
                  <a:lstStyle/>
                  <a:p>
                    <a:r>
                      <a:rPr lang="en-US"/>
                      <a:t>23,0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Холодильники и морозильники бытовые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Плитка керамическая</c:v>
                </c:pt>
                <c:pt idx="5">
                  <c:v>Корсетные изделия</c:v>
                </c:pt>
                <c:pt idx="6">
                  <c:v>Санитарно-техническое оборудование из керамики</c:v>
                </c:pt>
                <c:pt idx="7">
                  <c:v>Мебель</c:v>
                </c:pt>
              </c:strCache>
            </c:strRef>
          </c:cat>
          <c:val>
            <c:numRef>
              <c:f>Sheet1!$C$2:$J$2</c:f>
              <c:numCache>
                <c:formatCode>0.0</c:formatCode>
                <c:ptCount val="8"/>
                <c:pt idx="0">
                  <c:v>-99.8</c:v>
                </c:pt>
                <c:pt idx="1">
                  <c:v>-96.6</c:v>
                </c:pt>
                <c:pt idx="2">
                  <c:v>-81.900000000000006</c:v>
                </c:pt>
                <c:pt idx="3">
                  <c:v>-59.9</c:v>
                </c:pt>
                <c:pt idx="4">
                  <c:v>-53.5</c:v>
                </c:pt>
                <c:pt idx="5">
                  <c:v>-43.6</c:v>
                </c:pt>
                <c:pt idx="6">
                  <c:v>-39.9</c:v>
                </c:pt>
                <c:pt idx="7">
                  <c:v>-28.5</c:v>
                </c:pt>
              </c:numCache>
            </c:numRef>
          </c:val>
        </c:ser>
        <c:ser>
          <c:idx val="2"/>
          <c:order val="1"/>
          <c:tx>
            <c:strRef>
              <c:f>Sheet1!$A$3:$B$3</c:f>
              <c:strCache>
                <c:ptCount val="1"/>
                <c:pt idx="0">
                  <c:v>Отечественного производства</c:v>
                </c:pt>
              </c:strCache>
            </c:strRef>
          </c:tx>
          <c:spPr>
            <a:gradFill rotWithShape="0">
              <a:gsLst>
                <a:gs pos="0">
                  <a:srgbClr val="008000"/>
                </a:gs>
                <a:gs pos="50000">
                  <a:srgbClr val="008000">
                    <a:gamma/>
                    <a:tint val="55294"/>
                    <a:invGamma/>
                  </a:srgbClr>
                </a:gs>
                <a:gs pos="100000">
                  <a:srgbClr val="008000"/>
                </a:gs>
              </a:gsLst>
              <a:lin ang="5400000" scaled="1"/>
            </a:gradFill>
            <a:ln w="25398">
              <a:noFill/>
            </a:ln>
          </c:spPr>
          <c:dLbls>
            <c:dLbl>
              <c:idx val="0"/>
              <c:layout>
                <c:manualLayout>
                  <c:x val="1.1022927689594361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8.8183421516754845E-3"/>
                  <c:y val="0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/>
                </a:pPr>
                <a:endParaRPr lang="ru-RU"/>
              </a:p>
            </c:txPr>
            <c:showVal val="1"/>
          </c:dLbls>
          <c:cat>
            <c:strRef>
              <c:f>Sheet1!$C$1:$J$1</c:f>
              <c:strCache>
                <c:ptCount val="8"/>
                <c:pt idx="0">
                  <c:v>Телевизоры</c:v>
                </c:pt>
                <c:pt idx="1">
                  <c:v>Вещества поверхностно-активные, моющие и чистящие средства</c:v>
                </c:pt>
                <c:pt idx="2">
                  <c:v>Холодильники и морозильники бытовые</c:v>
                </c:pt>
                <c:pt idx="3">
                  <c:v>Лекартсвенные средства, расфасованные для розничной продажи</c:v>
                </c:pt>
                <c:pt idx="4">
                  <c:v>Плитка керамическая</c:v>
                </c:pt>
                <c:pt idx="5">
                  <c:v>Корсетные изделия</c:v>
                </c:pt>
                <c:pt idx="6">
                  <c:v>Санитарно-техническое оборудование из керамики</c:v>
                </c:pt>
                <c:pt idx="7">
                  <c:v>Мебель</c:v>
                </c:pt>
              </c:strCache>
            </c:strRef>
          </c:cat>
          <c:val>
            <c:numRef>
              <c:f>Sheet1!$C$3:$J$3</c:f>
              <c:numCache>
                <c:formatCode>0.0</c:formatCode>
                <c:ptCount val="8"/>
                <c:pt idx="0">
                  <c:v>0.20000000000000284</c:v>
                </c:pt>
                <c:pt idx="1">
                  <c:v>3.4000000000000057</c:v>
                </c:pt>
                <c:pt idx="2">
                  <c:v>18.099999999999987</c:v>
                </c:pt>
                <c:pt idx="3">
                  <c:v>40.1</c:v>
                </c:pt>
                <c:pt idx="4">
                  <c:v>46.5</c:v>
                </c:pt>
                <c:pt idx="5">
                  <c:v>56.4</c:v>
                </c:pt>
                <c:pt idx="6">
                  <c:v>60.1</c:v>
                </c:pt>
                <c:pt idx="7">
                  <c:v>71.5</c:v>
                </c:pt>
              </c:numCache>
            </c:numRef>
          </c:val>
        </c:ser>
        <c:dLbls>
          <c:showVal val="1"/>
        </c:dLbls>
        <c:gapWidth val="60"/>
        <c:overlap val="100"/>
        <c:axId val="64776448"/>
        <c:axId val="66060288"/>
      </c:barChart>
      <c:catAx>
        <c:axId val="64776448"/>
        <c:scaling>
          <c:orientation val="minMax"/>
        </c:scaling>
        <c:delete val="1"/>
        <c:axPos val="l"/>
        <c:tickLblPos val="none"/>
        <c:crossAx val="66060288"/>
        <c:crosses val="autoZero"/>
        <c:auto val="1"/>
        <c:lblAlgn val="ctr"/>
        <c:lblOffset val="100"/>
      </c:catAx>
      <c:valAx>
        <c:axId val="66060288"/>
        <c:scaling>
          <c:orientation val="minMax"/>
          <c:max val="100"/>
        </c:scaling>
        <c:delete val="1"/>
        <c:axPos val="b"/>
        <c:numFmt formatCode="0.0" sourceLinked="1"/>
        <c:tickLblPos val="none"/>
        <c:crossAx val="64776448"/>
        <c:crosses val="autoZero"/>
        <c:crossBetween val="between"/>
        <c:majorUnit val="20"/>
      </c:valAx>
      <c:spPr>
        <a:pattFill prst="pct5">
          <a:fgClr>
            <a:srgbClr val="EAEAEA"/>
          </a:fgClr>
          <a:bgClr>
            <a:srgbClr val="EAEAEA"/>
          </a:bgClr>
        </a:pattFill>
        <a:ln w="25398">
          <a:noFill/>
        </a:ln>
      </c:spPr>
    </c:plotArea>
    <c:legend>
      <c:legendPos val="b"/>
      <c:layout>
        <c:manualLayout>
          <c:xMode val="edge"/>
          <c:yMode val="edge"/>
          <c:x val="8.9075630252100829E-2"/>
          <c:y val="0.89824561403514203"/>
          <c:w val="0.80504201680672272"/>
          <c:h val="9.1228070175438727E-2"/>
        </c:manualLayout>
      </c:layout>
      <c:spPr>
        <a:noFill/>
        <a:ln w="2539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pattFill prst="pct5">
      <a:fgClr>
        <a:srgbClr val="EAEAEA"/>
      </a:fgClr>
      <a:bgClr>
        <a:srgbClr val="EAEAEA"/>
      </a:bgClr>
    </a:pattFill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1628603895777399E-2"/>
          <c:y val="3.7214690769832151E-2"/>
          <c:w val="0.91993892627972673"/>
          <c:h val="0.79444444444444462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615596938419507E-2"/>
                  <c:y val="-8.209274274609676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9384148108787013E-2"/>
                  <c:y val="-7.85331367687463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926744011293076E-2"/>
                  <c:y val="-7.477785967968901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2279895227820448E-2"/>
                  <c:y val="-7.987334986262817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109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</a:p>
                </c:rich>
              </c:tx>
              <c:dLblPos val="r"/>
              <c:showVal val="1"/>
            </c:dLbl>
            <c:dLbl>
              <c:idx val="4"/>
              <c:layout>
                <c:manualLayout>
                  <c:x val="-4.0280864048435713E-2"/>
                  <c:y val="-8.003216511425351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913676621091491E-2"/>
                  <c:y val="-6.800140913224353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1642680976227704E-2"/>
                  <c:y val="-7.3640187774679275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9126196265344131E-2"/>
                  <c:y val="-8.3259215729873659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606450842417833E-2"/>
                  <c:y val="-6.872403520434901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6739871664815148E-2"/>
                  <c:y val="-7.7678840861186052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108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  <a:endParaRPr lang="ru-RU"/>
                  </a:p>
                </c:rich>
              </c:tx>
              <c:dLblPos val="r"/>
              <c:showVal val="1"/>
            </c:dLbl>
            <c:dLbl>
              <c:idx val="10"/>
              <c:layout>
                <c:manualLayout>
                  <c:x val="-4.1293127277801926E-2"/>
                  <c:y val="-7.508434658903978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6157190473890095E-2"/>
                  <c:y val="-6.898722832684048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0675034485719959E-4"/>
                  <c:y val="7.434525732816159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9225390078509977E-2"/>
                  <c:y val="5.5824585455390083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5.2162756475363954E-2"/>
                  <c:y val="-4.092678070413613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5377468420698792E-2"/>
                  <c:y val="6.3245882879463367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2.6812716418110897E-2"/>
                  <c:y val="4.8884514435695539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6899836754122223E-2"/>
                  <c:y val="-5.892727848674087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2710585506313833E-2"/>
                  <c:y val="-6.1073965969771021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2176554994156935E-2"/>
                  <c:y val="-7.0768019306703539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323099653742386E-2"/>
                  <c:y val="6.914666409848241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2.5555552388127806E-2"/>
                  <c:y val="5.332230524759381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5.5370363507610237E-2"/>
                  <c:y val="-4.72158804434650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-4.316815753544944E-2"/>
                </c:manualLayout>
              </c:layout>
              <c:showVal val="1"/>
            </c:dLbl>
            <c:spPr>
              <a:noFill/>
              <a:ln w="253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General</c:formatCode>
                <c:ptCount val="13"/>
                <c:pt idx="0">
                  <c:v>109.5</c:v>
                </c:pt>
                <c:pt idx="1">
                  <c:v>109.8</c:v>
                </c:pt>
                <c:pt idx="2">
                  <c:v>109.7</c:v>
                </c:pt>
                <c:pt idx="3">
                  <c:v>109.8</c:v>
                </c:pt>
                <c:pt idx="4">
                  <c:v>110.1</c:v>
                </c:pt>
                <c:pt idx="5">
                  <c:v>109.9</c:v>
                </c:pt>
                <c:pt idx="6" formatCode="0.0">
                  <c:v>109.6</c:v>
                </c:pt>
                <c:pt idx="7">
                  <c:v>109.4</c:v>
                </c:pt>
                <c:pt idx="8">
                  <c:v>109.1</c:v>
                </c:pt>
                <c:pt idx="9">
                  <c:v>108.9</c:v>
                </c:pt>
                <c:pt idx="10">
                  <c:v>108.8</c:v>
                </c:pt>
                <c:pt idx="11">
                  <c:v>108.4</c:v>
                </c:pt>
                <c:pt idx="12">
                  <c:v>104.2</c:v>
                </c:pt>
              </c:numCache>
            </c:numRef>
          </c:val>
          <c:smooth val="1"/>
        </c:ser>
        <c:marker val="1"/>
        <c:axId val="66114304"/>
        <c:axId val="66115840"/>
      </c:lineChart>
      <c:catAx>
        <c:axId val="66114304"/>
        <c:scaling>
          <c:orientation val="minMax"/>
        </c:scaling>
        <c:axPos val="b"/>
        <c:numFmt formatCode="General" sourceLinked="1"/>
        <c:majorTickMark val="in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115840"/>
        <c:crossesAt val="100"/>
        <c:lblAlgn val="ctr"/>
        <c:lblOffset val="100"/>
        <c:tickLblSkip val="1"/>
        <c:tickMarkSkip val="1"/>
      </c:catAx>
      <c:valAx>
        <c:axId val="66115840"/>
        <c:scaling>
          <c:orientation val="minMax"/>
          <c:max val="115"/>
          <c:min val="10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11430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9883226460929521E-2"/>
          <c:y val="2.2304202736928645E-2"/>
          <c:w val="0.87952802384560402"/>
          <c:h val="0.60752032613847196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083256087455326E-2"/>
                  <c:y val="4.724925752869872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9600394504725569E-2"/>
                  <c:y val="4.774821237284380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8489629846790489E-2"/>
                  <c:y val="5.44319754849905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239166795174452E-2"/>
                  <c:y val="5.136009290270178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1173719342424343E-2"/>
                  <c:y val="5.467041397779431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8777374272801396E-2"/>
                  <c:y val="5.766370016801083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6404584253364222E-2"/>
                  <c:y val="5.214870614001201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0573997597045983E-2"/>
                  <c:y val="5.9660843321624829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9217294490660241E-2"/>
                  <c:y val="5.433704164063367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530264850272933E-2"/>
                  <c:y val="6.521646020395323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7868945801354673E-2"/>
                  <c:y val="6.1710972806973137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6096385909674013E-2"/>
                  <c:y val="7.2433198586148093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105,1</a:t>
                    </a:r>
                    <a:endParaRPr lang="en-US" sz="900"/>
                  </a:p>
                </c:rich>
              </c:tx>
              <c:dLblPos val="r"/>
              <c:showVal val="1"/>
            </c:dLbl>
            <c:dLbl>
              <c:idx val="12"/>
              <c:layout>
                <c:manualLayout>
                  <c:x val="-3.4741160743690172E-2"/>
                  <c:y val="4.6295964926000681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FF6600"/>
                        </a:solidFill>
                      </a:rPr>
                      <a:t>103,7</a:t>
                    </a:r>
                    <a:endParaRPr lang="ru-RU" sz="900"/>
                  </a:p>
                </c:rich>
              </c:tx>
              <c:dLblPos val="r"/>
            </c:dLbl>
            <c:dLbl>
              <c:idx val="13"/>
              <c:layout>
                <c:manualLayout>
                  <c:x val="-3.0170486108341308E-2"/>
                  <c:y val="4.3151119080990605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FF6600"/>
                        </a:solidFill>
                      </a:rPr>
                      <a:t>98,0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6.7176438500406582E-2"/>
                  <c:y val="-5.6006290598078923E-3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9568965517241534E-2"/>
                  <c:y val="-5.5319148936170223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>
                        <a:solidFill>
                          <a:srgbClr val="FF6600"/>
                        </a:solidFill>
                      </a:rPr>
                      <a:t>99,3</a:t>
                    </a:r>
                    <a:endParaRPr lang="en-US" b="0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3.231095589037207E-2"/>
                  <c:y val="4.8774461566182085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99</a:t>
                    </a: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,</a:t>
                    </a:r>
                    <a:r>
                      <a:rPr lang="en-US" sz="900" baseline="0">
                        <a:solidFill>
                          <a:srgbClr val="FF6600"/>
                        </a:solidFill>
                      </a:rPr>
                      <a:t>7</a:t>
                    </a:r>
                    <a:endParaRPr lang="en-US" sz="900" baseline="0"/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2.3498949423775645E-2"/>
                  <c:y val="5.934916849086805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5.3886098289437974E-2"/>
                  <c:y val="-3.4853273137697552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FF66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/>
                      <a:t>100,01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3.8799212598425462E-2"/>
                  <c:y val="-3.1638257407440612E-2"/>
                </c:manualLayout>
              </c:layout>
              <c:showVal val="1"/>
            </c:dLbl>
            <c:dLbl>
              <c:idx val="20"/>
              <c:layout>
                <c:manualLayout>
                  <c:x val="-2.9886811023622242E-2"/>
                  <c:y val="-3.6952773679814019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7720947597067837E-2"/>
                  <c:y val="2.901832530527365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0954412630048932E-2"/>
                  <c:y val="-2.614857886690919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-4.9631183235278431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 formatCode="General">
                  <c:v>105.7</c:v>
                </c:pt>
                <c:pt idx="1">
                  <c:v>105.8</c:v>
                </c:pt>
                <c:pt idx="2" formatCode="General">
                  <c:v>106.3</c:v>
                </c:pt>
                <c:pt idx="3" formatCode="General">
                  <c:v>105.9</c:v>
                </c:pt>
                <c:pt idx="4" formatCode="General">
                  <c:v>106.2</c:v>
                </c:pt>
                <c:pt idx="5" formatCode="General">
                  <c:v>106.4</c:v>
                </c:pt>
                <c:pt idx="6" formatCode="General">
                  <c:v>106.1</c:v>
                </c:pt>
                <c:pt idx="7" formatCode="General">
                  <c:v>105.9</c:v>
                </c:pt>
                <c:pt idx="8" formatCode="General">
                  <c:v>105.6</c:v>
                </c:pt>
                <c:pt idx="9" formatCode="General">
                  <c:v>105.5</c:v>
                </c:pt>
                <c:pt idx="10" formatCode="General">
                  <c:v>105.3</c:v>
                </c:pt>
                <c:pt idx="11">
                  <c:v>105.1</c:v>
                </c:pt>
                <c:pt idx="12" formatCode="General">
                  <c:v>103.7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39741606183285E-2"/>
                  <c:y val="3.575650131251559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2038765850938906E-2"/>
                  <c:y val="4.01799769067904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0715497358953773E-2"/>
                  <c:y val="5.341817033780994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351312654268753E-2"/>
                  <c:y val="5.145801011169333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4356870872570758E-2"/>
                  <c:y val="4.268402263399470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2080165122596422E-2"/>
                  <c:y val="3.6871863595520159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2347065871104726E-2"/>
                  <c:y val="4.2771891634120582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rgbClr val="008000"/>
                        </a:solidFill>
                      </a:rPr>
                      <a:t>113</a:t>
                    </a:r>
                    <a:r>
                      <a:rPr lang="ru-RU">
                        <a:solidFill>
                          <a:srgbClr val="008000"/>
                        </a:solidFill>
                      </a:rPr>
                      <a:t>,</a:t>
                    </a:r>
                    <a:r>
                      <a:rPr lang="en-US">
                        <a:solidFill>
                          <a:srgbClr val="008000"/>
                        </a:solidFill>
                      </a:rPr>
                      <a:t>2</a:t>
                    </a:r>
                    <a:endParaRPr lang="en-US"/>
                  </a:p>
                </c:rich>
              </c:tx>
              <c:dLblPos val="r"/>
              <c:showVal val="1"/>
            </c:dLbl>
            <c:dLbl>
              <c:idx val="7"/>
              <c:layout>
                <c:manualLayout>
                  <c:x val="-4.3125229831200033E-2"/>
                  <c:y val="4.579696962337759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2888662564585754E-2"/>
                  <c:y val="4.706731692670452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3679027701755746E-2"/>
                  <c:y val="4.930113236206439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2832401581408316E-2"/>
                  <c:y val="4.446392182749893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3995800761556766E-2"/>
                  <c:y val="5.304373359355509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2284062511211657E-2"/>
                  <c:y val="-8.996526797474004E-2"/>
                </c:manualLayout>
              </c:layout>
              <c:tx>
                <c:rich>
                  <a:bodyPr/>
                  <a:lstStyle/>
                  <a:p>
                    <a:r>
                      <a:rPr lang="ru-RU" sz="900">
                        <a:solidFill>
                          <a:srgbClr val="008000"/>
                        </a:solidFill>
                      </a:rPr>
                      <a:t>104,8</a:t>
                    </a:r>
                  </a:p>
                </c:rich>
              </c:tx>
              <c:dLblPos val="r"/>
            </c:dLbl>
            <c:dLbl>
              <c:idx val="13"/>
              <c:layout>
                <c:manualLayout>
                  <c:x val="-2.8017920173771402E-2"/>
                  <c:y val="4.6559557714858667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b="0">
                        <a:solidFill>
                          <a:srgbClr val="008000"/>
                        </a:solidFill>
                      </a:rPr>
                      <a:t>94,6</a:t>
                    </a:r>
                    <a:endParaRPr lang="en-US" b="0">
                      <a:solidFill>
                        <a:srgbClr val="00B05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4"/>
              <c:layout>
                <c:manualLayout>
                  <c:x val="-2.2540218571817858E-2"/>
                  <c:y val="5.766393030658402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8017241379310411E-2"/>
                  <c:y val="4.6808510638297871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 baseline="0">
                        <a:solidFill>
                          <a:srgbClr val="008000"/>
                        </a:solidFill>
                      </a:rPr>
                      <a:t>99,0</a:t>
                    </a:r>
                    <a:endParaRPr lang="en-US" b="0" baseline="0">
                      <a:solidFill>
                        <a:srgbClr val="009A46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6"/>
              <c:layout>
                <c:manualLayout>
                  <c:x val="-5.6008596183551126E-2"/>
                  <c:y val="-3.3927924964144381E-2"/>
                </c:manualLayout>
              </c:layout>
              <c:tx>
                <c:rich>
                  <a:bodyPr/>
                  <a:lstStyle/>
                  <a:p>
                    <a:pPr>
                      <a:defRPr sz="850" b="0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sz="900" b="0" i="0" baseline="0">
                        <a:solidFill>
                          <a:srgbClr val="008000"/>
                        </a:solidFill>
                      </a:rPr>
                      <a:t>10</a:t>
                    </a:r>
                    <a:r>
                      <a:rPr lang="ru-RU" sz="900" b="0" i="0" baseline="0">
                        <a:solidFill>
                          <a:srgbClr val="008000"/>
                        </a:solidFill>
                      </a:rPr>
                      <a:t>0,2</a:t>
                    </a:r>
                    <a:endParaRPr lang="en-US" sz="900" b="0" i="0" baseline="0">
                      <a:solidFill>
                        <a:srgbClr val="008E40"/>
                      </a:solidFill>
                    </a:endParaRPr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7"/>
              <c:layout>
                <c:manualLayout>
                  <c:x val="-4.9544825563564245E-2"/>
                  <c:y val="-3.022885424375276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9575074667390716E-2"/>
                  <c:y val="-3.4778265583619537E-2"/>
                </c:manualLayout>
              </c:layout>
              <c:tx>
                <c:rich>
                  <a:bodyPr/>
                  <a:lstStyle/>
                  <a:p>
                    <a:pPr>
                      <a:defRPr sz="900" b="1" i="0" u="none" strike="noStrike" baseline="0">
                        <a:solidFill>
                          <a:srgbClr val="008000"/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en-US" b="0"/>
                      <a:t>10</a:t>
                    </a:r>
                    <a:r>
                      <a:rPr lang="ru-RU" b="0"/>
                      <a:t>2</a:t>
                    </a:r>
                    <a:r>
                      <a:rPr lang="en-US" b="0"/>
                      <a:t>,</a:t>
                    </a:r>
                    <a:r>
                      <a:rPr lang="ru-RU" b="0"/>
                      <a:t>1</a:t>
                    </a:r>
                    <a:endParaRPr lang="en-US" b="0"/>
                  </a:p>
                </c:rich>
              </c:tx>
              <c:spPr>
                <a:noFill/>
                <a:ln w="25425">
                  <a:noFill/>
                </a:ln>
              </c:spPr>
              <c:showVal val="1"/>
            </c:dLbl>
            <c:dLbl>
              <c:idx val="19"/>
              <c:layout>
                <c:manualLayout>
                  <c:x val="-4.5263711648112992E-2"/>
                  <c:y val="-3.6133733847603357E-2"/>
                </c:manualLayout>
              </c:layout>
              <c:showVal val="1"/>
            </c:dLbl>
            <c:dLbl>
              <c:idx val="20"/>
              <c:layout>
                <c:manualLayout>
                  <c:x val="-4.6620791474341582E-2"/>
                  <c:y val="-4.6032242583672466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87417202245042E-2"/>
                  <c:y val="3.024803882105800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5265403433211983E-2"/>
                  <c:y val="-3.9740141347702346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-4.0607710565834877E-2"/>
                </c:manualLayout>
              </c:layout>
              <c:showVal val="1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Sheet1!$N$3:$Z$3</c:f>
              <c:numCache>
                <c:formatCode>General</c:formatCode>
                <c:ptCount val="13"/>
                <c:pt idx="0">
                  <c:v>113.6</c:v>
                </c:pt>
                <c:pt idx="1">
                  <c:v>114.1</c:v>
                </c:pt>
                <c:pt idx="2" formatCode="0.0">
                  <c:v>113.3</c:v>
                </c:pt>
                <c:pt idx="3" formatCode="0.0">
                  <c:v>114.1</c:v>
                </c:pt>
                <c:pt idx="4" formatCode="0.0">
                  <c:v>114.2</c:v>
                </c:pt>
                <c:pt idx="5" formatCode="0.0">
                  <c:v>113.7</c:v>
                </c:pt>
                <c:pt idx="6" formatCode="0.0">
                  <c:v>113.2</c:v>
                </c:pt>
                <c:pt idx="7" formatCode="0.0">
                  <c:v>113.1</c:v>
                </c:pt>
                <c:pt idx="8" formatCode="0.0">
                  <c:v>112.6</c:v>
                </c:pt>
                <c:pt idx="9" formatCode="0.0">
                  <c:v>112.3</c:v>
                </c:pt>
                <c:pt idx="10" formatCode="0.0">
                  <c:v>112.3</c:v>
                </c:pt>
                <c:pt idx="11" formatCode="0.0">
                  <c:v>111.7</c:v>
                </c:pt>
                <c:pt idx="12" formatCode="0.0">
                  <c:v>104.8</c:v>
                </c:pt>
              </c:numCache>
            </c:numRef>
          </c:val>
          <c:smooth val="1"/>
        </c:ser>
        <c:marker val="1"/>
        <c:axId val="66542976"/>
        <c:axId val="66507904"/>
      </c:lineChart>
      <c:catAx>
        <c:axId val="66542976"/>
        <c:scaling>
          <c:orientation val="minMax"/>
        </c:scaling>
        <c:axPos val="b"/>
        <c:numFmt formatCode="General" sourceLinked="1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507904"/>
        <c:crossesAt val="100"/>
        <c:lblAlgn val="ctr"/>
        <c:lblOffset val="100"/>
        <c:tickLblSkip val="1"/>
        <c:tickMarkSkip val="1"/>
      </c:catAx>
      <c:valAx>
        <c:axId val="66507904"/>
        <c:scaling>
          <c:orientation val="minMax"/>
          <c:max val="115"/>
          <c:min val="100"/>
        </c:scaling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542976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315787949126947"/>
          <c:y val="0.88446942681899954"/>
          <c:w val="0.75822368421053365"/>
          <c:h val="9.3617021276595741E-2"/>
        </c:manualLayout>
      </c:layout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747563362196012E-2"/>
          <c:y val="3.5865945215849918E-2"/>
          <c:w val="0.90995260663508171"/>
          <c:h val="0.72396331814455395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8394438214027892E-2"/>
                  <c:y val="6.37155080155654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5292164355474491E-2"/>
                  <c:y val="-6.566636621344540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6988470624540831E-2"/>
                  <c:y val="-7.450894960282988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3682452639555856E-2"/>
                  <c:y val="-9.282697434528916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4174024632042098E-2"/>
                  <c:y val="-8.417446619629012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9431992391632191E-2"/>
                  <c:y val="-6.281687149225402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0026864564176701E-2"/>
                  <c:y val="-7.36871056551468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2101055835458416E-2"/>
                  <c:y val="-6.269588154738381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890450795381265E-2"/>
                  <c:y val="-6.24916388130642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962282555470052E-2"/>
                  <c:y val="-7.6120756474239368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248719460662364E-2"/>
                  <c:y val="-7.520770757822903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2.1411976596806628E-2"/>
                  <c:y val="-7.114423660827344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869993953517852E-3"/>
                  <c:y val="-0.12489631640719671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Mode val="edge"/>
                  <c:yMode val="edge"/>
                  <c:x val="0.5466034755134383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4"/>
              <c:layout>
                <c:manualLayout>
                  <c:xMode val="edge"/>
                  <c:yMode val="edge"/>
                  <c:x val="0.587677725118483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5"/>
              <c:layout>
                <c:manualLayout>
                  <c:xMode val="edge"/>
                  <c:yMode val="edge"/>
                  <c:x val="0.61927330173774731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6"/>
              <c:layout>
                <c:manualLayout>
                  <c:xMode val="edge"/>
                  <c:yMode val="edge"/>
                  <c:x val="0.6635071090047393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7"/>
              <c:layout>
                <c:manualLayout>
                  <c:xMode val="edge"/>
                  <c:yMode val="edge"/>
                  <c:x val="0.69826224328593856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18"/>
              <c:layout>
                <c:manualLayout>
                  <c:xMode val="edge"/>
                  <c:yMode val="edge"/>
                  <c:x val="0.73775671406003163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97,8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19"/>
              <c:layout>
                <c:manualLayout>
                  <c:xMode val="edge"/>
                  <c:yMode val="edge"/>
                  <c:x val="0.7772511848341232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0"/>
              <c:layout>
                <c:manualLayout>
                  <c:xMode val="edge"/>
                  <c:yMode val="edge"/>
                  <c:x val="0.81832543443919714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97,0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21"/>
              <c:layout>
                <c:manualLayout>
                  <c:xMode val="edge"/>
                  <c:yMode val="edge"/>
                  <c:x val="0.85308056872037918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96,9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dLbl>
              <c:idx val="22"/>
              <c:layout>
                <c:manualLayout>
                  <c:xMode val="edge"/>
                  <c:yMode val="edge"/>
                  <c:x val="0.89257503949448125"/>
                  <c:y val="0"/>
                </c:manualLayout>
              </c:layout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rgbClr val="008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r"/>
              <c:showVal val="1"/>
            </c:dLbl>
            <c:dLbl>
              <c:idx val="23"/>
              <c:layout>
                <c:manualLayout>
                  <c:xMode val="edge"/>
                  <c:yMode val="edge"/>
                  <c:x val="0.93048973143759872"/>
                  <c:y val="0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rgbClr val="008000"/>
                        </a:solidFill>
                        <a:latin typeface="Arial Cyr"/>
                        <a:ea typeface="Arial Cyr"/>
                        <a:cs typeface="Arial Cyr"/>
                      </a:defRPr>
                    </a:pPr>
                    <a:r>
                      <a:rPr sz="900"/>
                      <a:t>97,2</a:t>
                    </a:r>
                  </a:p>
                </c:rich>
              </c:tx>
              <c:spPr>
                <a:noFill/>
                <a:ln w="25402">
                  <a:noFill/>
                </a:ln>
              </c:spPr>
              <c:dLblPos val="r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110.6</c:v>
                </c:pt>
                <c:pt idx="1">
                  <c:v>113.7</c:v>
                </c:pt>
                <c:pt idx="2" formatCode="General">
                  <c:v>112.4</c:v>
                </c:pt>
                <c:pt idx="3" formatCode="General">
                  <c:v>112.8</c:v>
                </c:pt>
                <c:pt idx="4" formatCode="General">
                  <c:v>113.3</c:v>
                </c:pt>
                <c:pt idx="5" formatCode="General">
                  <c:v>113.2</c:v>
                </c:pt>
                <c:pt idx="6" formatCode="General">
                  <c:v>112.7</c:v>
                </c:pt>
                <c:pt idx="7" formatCode="General">
                  <c:v>112.5</c:v>
                </c:pt>
                <c:pt idx="8">
                  <c:v>111.3</c:v>
                </c:pt>
                <c:pt idx="9" formatCode="General">
                  <c:v>111</c:v>
                </c:pt>
                <c:pt idx="10">
                  <c:v>110.5</c:v>
                </c:pt>
                <c:pt idx="11" formatCode="General">
                  <c:v>109.4</c:v>
                </c:pt>
                <c:pt idx="12">
                  <c:v>101.1</c:v>
                </c:pt>
              </c:numCache>
            </c:numRef>
          </c:val>
        </c:ser>
        <c:marker val="1"/>
        <c:axId val="66674048"/>
        <c:axId val="66782336"/>
      </c:lineChart>
      <c:catAx>
        <c:axId val="6667404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782336"/>
        <c:crossesAt val="100"/>
        <c:auto val="1"/>
        <c:lblAlgn val="ctr"/>
        <c:lblOffset val="100"/>
        <c:tickLblSkip val="1"/>
        <c:tickMarkSkip val="1"/>
      </c:catAx>
      <c:valAx>
        <c:axId val="66782336"/>
        <c:scaling>
          <c:orientation val="minMax"/>
          <c:max val="120"/>
          <c:min val="100"/>
        </c:scaling>
        <c:axPos val="l"/>
        <c:minorGridlines/>
        <c:numFmt formatCode="0" sourceLinked="0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667404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0.41686</cdr:x>
      <cdr:y>0.64037</cdr:y>
    </cdr:from>
    <cdr:to>
      <cdr:x>0.8682</cdr:x>
      <cdr:y>0.73665</cdr:y>
    </cdr:to>
    <cdr:sp macro="" textlink="">
      <cdr:nvSpPr>
        <cdr:cNvPr id="1051" name="Text Box 27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401416" y="2092148"/>
          <a:ext cx="2600043" cy="314553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Вещества поверхностно-активные,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моющие и чистящие средства </a:t>
          </a:r>
        </a:p>
      </cdr:txBody>
    </cdr:sp>
  </cdr:relSizeAnchor>
  <cdr:relSizeAnchor xmlns:cdr="http://schemas.openxmlformats.org/drawingml/2006/chartDrawing">
    <cdr:from>
      <cdr:x>0.56174</cdr:x>
      <cdr:y>0.12932</cdr:y>
    </cdr:from>
    <cdr:to>
      <cdr:x>0.95809</cdr:x>
      <cdr:y>0.23266</cdr:y>
    </cdr:to>
    <cdr:sp macro="" textlink="">
      <cdr:nvSpPr>
        <cdr:cNvPr id="1043" name="Text Box 19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235598" y="422860"/>
          <a:ext cx="2282958" cy="33792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Санитарно-техническое оборудование </a:t>
          </a:r>
          <a:b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из керамики</a:t>
          </a:r>
        </a:p>
      </cdr:txBody>
    </cdr:sp>
  </cdr:relSizeAnchor>
  <cdr:relSizeAnchor xmlns:cdr="http://schemas.openxmlformats.org/drawingml/2006/chartDrawing">
    <cdr:from>
      <cdr:x>0.52475</cdr:x>
      <cdr:y>0.34394</cdr:y>
    </cdr:from>
    <cdr:to>
      <cdr:x>0.75616</cdr:x>
      <cdr:y>0.41983</cdr:y>
    </cdr:to>
    <cdr:sp macro="" textlink="">
      <cdr:nvSpPr>
        <cdr:cNvPr id="1044" name="Text Box 20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022538" y="1124656"/>
          <a:ext cx="1332901" cy="24815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 pitchFamily="34" charset="0"/>
              <a:cs typeface="Arial" pitchFamily="34" charset="0"/>
            </a:rPr>
            <a:t>Плитка керамическая</a:t>
          </a:r>
        </a:p>
      </cdr:txBody>
    </cdr:sp>
  </cdr:relSizeAnchor>
  <cdr:relSizeAnchor xmlns:cdr="http://schemas.openxmlformats.org/drawingml/2006/chartDrawing">
    <cdr:from>
      <cdr:x>0.49352</cdr:x>
      <cdr:y>0.44295</cdr:y>
    </cdr:from>
    <cdr:to>
      <cdr:x>0.9365</cdr:x>
      <cdr:y>0.54586</cdr:y>
    </cdr:to>
    <cdr:sp macro="" textlink="">
      <cdr:nvSpPr>
        <cdr:cNvPr id="1045" name="Text Box 2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842640" y="1448411"/>
          <a:ext cx="2551557" cy="33649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0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Лекарственные средства, расфасованные</a:t>
          </a:r>
          <a:b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</a:b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для розничной продажи</a:t>
          </a:r>
        </a:p>
      </cdr:txBody>
    </cdr:sp>
  </cdr:relSizeAnchor>
  <cdr:relSizeAnchor xmlns:cdr="http://schemas.openxmlformats.org/drawingml/2006/chartDrawing">
    <cdr:from>
      <cdr:x>0.41165</cdr:x>
      <cdr:y>0.74785</cdr:y>
    </cdr:from>
    <cdr:to>
      <cdr:x>0.53544</cdr:x>
      <cdr:y>0.81598</cdr:y>
    </cdr:to>
    <cdr:sp macro="" textlink="">
      <cdr:nvSpPr>
        <cdr:cNvPr id="1046" name="Text Box 2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371418" y="2443291"/>
          <a:ext cx="713119" cy="22258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ctr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Телевизоры</a:t>
          </a:r>
          <a:endParaRPr lang="ru-RU" sz="800" b="0" i="0" u="none" strike="noStrike" baseline="0">
            <a:solidFill>
              <a:srgbClr val="000000"/>
            </a:solidFill>
            <a:latin typeface="Arial"/>
            <a:cs typeface="Arial"/>
          </a:endParaRPr>
        </a:p>
      </cdr:txBody>
    </cdr:sp>
  </cdr:relSizeAnchor>
  <cdr:relSizeAnchor xmlns:cdr="http://schemas.openxmlformats.org/drawingml/2006/chartDrawing">
    <cdr:from>
      <cdr:x>0.75075</cdr:x>
      <cdr:y>0.4995</cdr:y>
    </cdr:from>
    <cdr:to>
      <cdr:x>0.9045</cdr:x>
      <cdr:y>0.6105</cdr:y>
    </cdr:to>
    <cdr:sp macro="" textlink="">
      <cdr:nvSpPr>
        <cdr:cNvPr id="1050" name="Text Box 2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4254782" y="1355955"/>
          <a:ext cx="871359" cy="30132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</cdr:sp>
  </cdr:relSizeAnchor>
  <cdr:relSizeAnchor xmlns:cdr="http://schemas.openxmlformats.org/drawingml/2006/chartDrawing">
    <cdr:from>
      <cdr:x>0.60225</cdr:x>
      <cdr:y>0.04758</cdr:y>
    </cdr:from>
    <cdr:to>
      <cdr:x>0.70907</cdr:x>
      <cdr:y>0.10076</cdr:y>
    </cdr:to>
    <cdr:sp macro="" textlink="">
      <cdr:nvSpPr>
        <cdr:cNvPr id="1052" name="Text Box 28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468935" y="155578"/>
          <a:ext cx="615302" cy="17391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Мебель</a:t>
          </a:r>
        </a:p>
      </cdr:txBody>
    </cdr:sp>
  </cdr:relSizeAnchor>
  <cdr:relSizeAnchor xmlns:cdr="http://schemas.openxmlformats.org/drawingml/2006/chartDrawing">
    <cdr:from>
      <cdr:x>0.44327</cdr:x>
      <cdr:y>0.55344</cdr:y>
    </cdr:from>
    <cdr:to>
      <cdr:x>0.84079</cdr:x>
      <cdr:y>0.61429</cdr:y>
    </cdr:to>
    <cdr:sp macro="" textlink="">
      <cdr:nvSpPr>
        <cdr:cNvPr id="1056" name="Text Box 32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553582" y="1808124"/>
          <a:ext cx="2290001" cy="19880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18288" tIns="18288" rIns="0" bIns="18288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 Cyr"/>
              <a:cs typeface="Arial Cyr"/>
            </a:rPr>
            <a:t>Холодильники и морозильники бытовые</a:t>
          </a:r>
        </a:p>
      </cdr:txBody>
    </cdr:sp>
  </cdr:relSizeAnchor>
  <cdr:relSizeAnchor xmlns:cdr="http://schemas.openxmlformats.org/drawingml/2006/chartDrawing">
    <cdr:from>
      <cdr:x>0.54871</cdr:x>
      <cdr:y>0.25391</cdr:y>
    </cdr:from>
    <cdr:to>
      <cdr:x>0.75225</cdr:x>
      <cdr:y>0.31346</cdr:y>
    </cdr:to>
    <cdr:sp macro="" textlink="">
      <cdr:nvSpPr>
        <cdr:cNvPr id="1057" name="Text Box 33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3160551" y="830268"/>
          <a:ext cx="1172370" cy="194719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>
          <a:noFill/>
          <a:miter lim="800000"/>
          <a:headEnd/>
          <a:tailEnd/>
        </a:ln>
        <a:effectLst xmlns:a="http://schemas.openxmlformats.org/drawingml/2006/main"/>
      </cdr:spPr>
      <cdr:txBody>
        <a:bodyPr xmlns:a="http://schemas.openxmlformats.org/drawingml/2006/main" vertOverflow="clip" wrap="square" lIns="27432" tIns="22860" rIns="27432" bIns="22860" anchor="ctr" upright="1"/>
        <a:lstStyle xmlns:a="http://schemas.openxmlformats.org/drawingml/2006/main"/>
        <a:p xmlns:a="http://schemas.openxmlformats.org/drawingml/2006/main">
          <a:pPr algn="l" rtl="0">
            <a:defRPr sz="1000"/>
          </a:pPr>
          <a:r>
            <a:rPr lang="ru-RU" sz="900" b="0" i="0" u="none" strike="noStrike" baseline="0">
              <a:solidFill>
                <a:srgbClr val="000000"/>
              </a:solidFill>
              <a:latin typeface="Arial"/>
              <a:cs typeface="Arial"/>
            </a:rPr>
            <a:t>Корсетные изделия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EC4A95-02C7-4D22-A872-3FBD41D87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1853</Words>
  <Characters>10564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subject/>
  <dc:creator>Буцкая</dc:creator>
  <cp:keywords/>
  <dc:description>A REGIONALIZAЗГO Й UM ERRO COLOSSAL!</dc:description>
  <cp:lastModifiedBy>Ekaterina.Klimova</cp:lastModifiedBy>
  <cp:revision>5</cp:revision>
  <cp:lastPrinted>2019-02-22T12:39:00Z</cp:lastPrinted>
  <dcterms:created xsi:type="dcterms:W3CDTF">2019-02-22T12:38:00Z</dcterms:created>
  <dcterms:modified xsi:type="dcterms:W3CDTF">2019-02-25T09:59:00Z</dcterms:modified>
</cp:coreProperties>
</file>