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E56C5D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E56C5D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80"/>
        <w:gridCol w:w="1464"/>
        <w:gridCol w:w="1464"/>
        <w:gridCol w:w="1464"/>
      </w:tblGrid>
      <w:tr w:rsidR="00C8164B" w:rsidRPr="00F35092" w:rsidTr="00FD6962">
        <w:trPr>
          <w:cantSplit/>
          <w:trHeight w:val="20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AD1C86">
            <w:pPr>
              <w:spacing w:before="60" w:after="60" w:line="210" w:lineRule="exac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AD1C86">
            <w:pPr>
              <w:spacing w:before="60" w:after="60" w:line="21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E5127C" w:rsidP="00AD1C86">
            <w:pPr>
              <w:spacing w:before="60" w:after="60" w:line="21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AD1C86">
            <w:pPr>
              <w:spacing w:before="60" w:after="60" w:line="21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> г.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в % к</w:t>
            </w:r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4442ED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442ED" w:rsidRPr="00F35092" w:rsidRDefault="004442ED" w:rsidP="00AD1C86">
            <w:pPr>
              <w:spacing w:before="60" w:after="60" w:line="21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3 676,3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4 098,5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4442ED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Pr="00F35092" w:rsidRDefault="004442ED" w:rsidP="00AD1C86">
            <w:pPr>
              <w:pStyle w:val="append"/>
              <w:spacing w:before="60" w:after="60" w:line="21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2 252,6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2 484,5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4442ED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Pr="00F35092" w:rsidRDefault="004442ED" w:rsidP="00AD1C86">
            <w:pPr>
              <w:spacing w:before="60" w:after="60" w:line="21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771,2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883,9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4442ED" w:rsidRPr="00F35092" w:rsidTr="00FD6962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Pr="00F35092" w:rsidRDefault="004442ED" w:rsidP="00AD1C86">
            <w:pPr>
              <w:spacing w:before="60" w:after="60" w:line="21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714,0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906,4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</w:tr>
      <w:tr w:rsidR="004442ED" w:rsidRPr="00F35092" w:rsidTr="00FD6962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442ED" w:rsidRPr="00F35092" w:rsidRDefault="004442ED" w:rsidP="00AD1C86">
            <w:pPr>
              <w:spacing w:before="60" w:after="60" w:line="21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599,6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677,1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4442ED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442ED" w:rsidRPr="00F35092" w:rsidRDefault="004442ED" w:rsidP="00AD1C86">
            <w:pPr>
              <w:spacing w:before="60" w:after="60" w:line="21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442ED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Pr="00F35092" w:rsidRDefault="004442ED" w:rsidP="00AD1C86">
            <w:pPr>
              <w:pStyle w:val="2"/>
              <w:spacing w:before="60" w:after="60" w:line="21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442ED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2ED" w:rsidRPr="00F35092" w:rsidRDefault="004442ED" w:rsidP="00AD1C86">
            <w:pPr>
              <w:spacing w:before="60" w:after="60" w:line="21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C8164B" w:rsidRDefault="00C8164B" w:rsidP="00F1677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AD1C86">
            <w:pPr>
              <w:pStyle w:val="xl35"/>
              <w:spacing w:before="60" w:beforeAutospacing="0" w:after="60" w:afterAutospacing="0" w:line="21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AD1C86">
            <w:pPr>
              <w:spacing w:before="60" w:after="60" w:line="21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E5127C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 xml:space="preserve"> 2021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AD1C86">
            <w:pPr>
              <w:spacing w:before="60" w:after="60" w:line="21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AD1C86">
            <w:pPr>
              <w:spacing w:before="60" w:after="60" w:line="21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AD1C86">
            <w:pPr>
              <w:spacing w:before="60" w:after="60" w:line="21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AD1C86">
            <w:pPr>
              <w:spacing w:before="60" w:after="60" w:line="21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AD1C86">
            <w:pPr>
              <w:spacing w:before="60" w:after="60" w:line="21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5127C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3A6F6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2 654,4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</w:tr>
      <w:tr w:rsidR="003A6F6F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</w:t>
            </w:r>
          </w:p>
        </w:tc>
      </w:tr>
      <w:tr w:rsidR="003A6F6F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A6F6F" w:rsidRDefault="003A6F6F" w:rsidP="00AD1C86">
            <w:pPr>
              <w:spacing w:before="60" w:after="60" w:line="21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A6F6F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AD1C86">
            <w:pPr>
              <w:spacing w:before="60" w:after="60" w:line="21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E5127C">
              <w:rPr>
                <w:bCs/>
                <w:i/>
                <w:iCs/>
                <w:sz w:val="22"/>
                <w:szCs w:val="22"/>
              </w:rPr>
              <w:t>октября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2020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DE2C21" w:rsidRDefault="00860347" w:rsidP="00AD1C86">
            <w:pPr>
              <w:spacing w:before="60" w:after="60" w:line="21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69,6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8164B" w:rsidP="00AD1C86">
            <w:pPr>
              <w:spacing w:before="60" w:after="60" w:line="21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8164B" w:rsidP="00AD1C86">
            <w:pPr>
              <w:spacing w:before="60" w:after="60" w:line="21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A6F6F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846,9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110,0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113,5</w:t>
            </w:r>
          </w:p>
        </w:tc>
      </w:tr>
      <w:tr w:rsidR="003A6F6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A6F6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</w:t>
            </w:r>
          </w:p>
        </w:tc>
      </w:tr>
      <w:tr w:rsidR="003A6F6F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A6F6F" w:rsidTr="00AD1C8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3A6F6F" w:rsidTr="00AD1C8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6F" w:rsidRDefault="003A6F6F" w:rsidP="00AD1C86">
            <w:pPr>
              <w:spacing w:before="60" w:after="60" w:line="21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F6F" w:rsidRDefault="003A6F6F" w:rsidP="00AD1C86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3A8" w:rsidRPr="00B723EC" w:rsidTr="00AD1C86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3A8" w:rsidRDefault="007843A8" w:rsidP="00AD1C86">
            <w:pPr>
              <w:spacing w:before="80" w:after="80" w:line="210" w:lineRule="exact"/>
              <w:ind w:right="170"/>
            </w:pPr>
            <w:r>
              <w:rPr>
                <w:sz w:val="22"/>
                <w:szCs w:val="22"/>
              </w:rPr>
              <w:lastRenderedPageBreak/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3A8" w:rsidRDefault="007843A8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3A8" w:rsidRDefault="007843A8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3A8" w:rsidRDefault="007843A8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843A8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3A8" w:rsidRPr="00FD1C76" w:rsidRDefault="007843A8" w:rsidP="00AD1C86">
            <w:pPr>
              <w:spacing w:before="80" w:after="80" w:line="21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3A8" w:rsidRDefault="007843A8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3A8" w:rsidRDefault="007843A8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3A8" w:rsidRDefault="007843A8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347" w:rsidRDefault="00860347" w:rsidP="00AD1C86">
            <w:pPr>
              <w:spacing w:before="80" w:after="80" w:line="21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 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860347" w:rsidP="00AD1C86">
            <w:pPr>
              <w:tabs>
                <w:tab w:val="left" w:pos="1088"/>
              </w:tabs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347" w:rsidRDefault="00860347" w:rsidP="00AD1C86">
            <w:pPr>
              <w:spacing w:before="80" w:after="80" w:line="21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860347" w:rsidP="00AD1C86">
            <w:pPr>
              <w:tabs>
                <w:tab w:val="left" w:pos="1088"/>
              </w:tabs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Pr="00A056B0" w:rsidRDefault="00860347" w:rsidP="00AD1C86">
            <w:pPr>
              <w:spacing w:before="80" w:after="80" w:line="21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Pr="00A056B0" w:rsidRDefault="00860347" w:rsidP="00AD1C86">
            <w:pPr>
              <w:spacing w:before="80" w:after="80" w:line="21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spacing w:before="80" w:after="80" w:line="21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 w:rsidR="00AD1C8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860347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347" w:rsidRPr="00EB34F0" w:rsidRDefault="00860347" w:rsidP="00AD1C86">
            <w:pPr>
              <w:spacing w:before="80" w:after="80" w:line="21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spacing w:before="80" w:after="80" w:line="21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182,5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Pr="00A056B0" w:rsidRDefault="00860347" w:rsidP="00AD1C86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Pr="00A056B0" w:rsidRDefault="00860347" w:rsidP="00AD1C86">
            <w:pPr>
              <w:spacing w:before="80" w:after="80" w:line="21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Pr="00CD65A1" w:rsidRDefault="00860347" w:rsidP="00AD1C86">
            <w:pPr>
              <w:spacing w:before="80" w:after="80" w:line="21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="00AD1C86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1 807,5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spacing w:before="80" w:after="80" w:line="21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spacing w:before="80" w:after="80" w:line="21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AD1C86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AD1C86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AD1C86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AD1C86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AD1C86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 w:rsidRPr="00AD1C86">
              <w:rPr>
                <w:sz w:val="22"/>
                <w:szCs w:val="22"/>
              </w:rPr>
              <w:t>–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spacing w:before="80" w:after="80" w:line="21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1 126,9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spacing w:before="80" w:after="80" w:line="21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pStyle w:val="append"/>
              <w:spacing w:before="80" w:after="80" w:line="21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pStyle w:val="append"/>
              <w:spacing w:before="80" w:after="80" w:line="21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spacing w:before="80" w:after="80" w:line="21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0347" w:rsidRDefault="00860347" w:rsidP="00AD1C86">
            <w:pPr>
              <w:pStyle w:val="append"/>
              <w:spacing w:before="80" w:after="80" w:line="21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0347" w:rsidRPr="00A056B0" w:rsidRDefault="00860347" w:rsidP="00AD1C86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034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0347" w:rsidRPr="00A056B0" w:rsidRDefault="00860347" w:rsidP="00AD1C86">
            <w:pPr>
              <w:spacing w:before="80" w:after="80" w:line="21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0347" w:rsidRDefault="00860347" w:rsidP="00AD1C86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5401E" w:rsidRPr="00CA77D1" w:rsidRDefault="0035401E" w:rsidP="00AD1C86">
      <w:pPr>
        <w:spacing w:before="120" w:line="34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январе-сентябре </w:t>
      </w:r>
      <w:r>
        <w:rPr>
          <w:sz w:val="26"/>
        </w:rPr>
        <w:br/>
        <w:t>20</w:t>
      </w:r>
      <w:r w:rsidRPr="009F24E7">
        <w:rPr>
          <w:sz w:val="26"/>
        </w:rPr>
        <w:t>2</w:t>
      </w:r>
      <w:r>
        <w:rPr>
          <w:sz w:val="26"/>
        </w:rPr>
        <w:t>1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2 884,9 млн. рублей, или в сопоставимых ценах 107,6% </w:t>
      </w:r>
      <w:r w:rsidR="00AD1C86">
        <w:rPr>
          <w:sz w:val="26"/>
        </w:rPr>
        <w:br/>
      </w:r>
      <w:r>
        <w:rPr>
          <w:sz w:val="26"/>
        </w:rPr>
        <w:t>к уровню января-сентября 2020 г.</w:t>
      </w:r>
    </w:p>
    <w:p w:rsidR="0035401E" w:rsidRDefault="0035401E" w:rsidP="00AD1C86">
      <w:pPr>
        <w:spacing w:after="120" w:line="34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(52,9%)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(24,8%). Доходы от услуг передачи данных </w:t>
      </w:r>
      <w:r>
        <w:rPr>
          <w:sz w:val="26"/>
        </w:rPr>
        <w:br/>
        <w:t>в январе-сентябре 20</w:t>
      </w:r>
      <w:r w:rsidRPr="009F24E7">
        <w:rPr>
          <w:sz w:val="26"/>
        </w:rPr>
        <w:t>2</w:t>
      </w:r>
      <w:r>
        <w:rPr>
          <w:sz w:val="26"/>
        </w:rPr>
        <w:t>1</w:t>
      </w:r>
      <w:r w:rsidR="00FF4396">
        <w:rPr>
          <w:sz w:val="26"/>
        </w:rPr>
        <w:t> </w:t>
      </w:r>
      <w:r>
        <w:rPr>
          <w:sz w:val="26"/>
        </w:rPr>
        <w:t>г. по сравнению с январем-сентябрем 20</w:t>
      </w:r>
      <w:r w:rsidRPr="009F24E7">
        <w:rPr>
          <w:sz w:val="26"/>
        </w:rPr>
        <w:t>2</w:t>
      </w:r>
      <w:r>
        <w:rPr>
          <w:sz w:val="26"/>
        </w:rPr>
        <w:t xml:space="preserve">0 г. </w:t>
      </w:r>
      <w:r w:rsidR="00AD1C86">
        <w:rPr>
          <w:sz w:val="26"/>
        </w:rPr>
        <w:br/>
      </w:r>
      <w:r>
        <w:rPr>
          <w:sz w:val="26"/>
        </w:rPr>
        <w:t xml:space="preserve">в сопоставимых ценах составили 112,6%, услуг сотовой подвижной </w:t>
      </w:r>
      <w:r>
        <w:rPr>
          <w:sz w:val="26"/>
        </w:rPr>
        <w:br/>
        <w:t>электросвязи – 111%.</w:t>
      </w:r>
      <w:r>
        <w:rPr>
          <w:sz w:val="20"/>
          <w:szCs w:val="20"/>
        </w:rPr>
        <w:t xml:space="preserve"> </w:t>
      </w:r>
    </w:p>
    <w:p w:rsidR="00C8164B" w:rsidRDefault="000602F0" w:rsidP="00AD1C86">
      <w:pPr>
        <w:spacing w:before="36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>
        <w:rPr>
          <w:rFonts w:ascii="Arial" w:hAnsi="Arial" w:cs="Arial"/>
          <w:b/>
          <w:bCs/>
          <w:sz w:val="26"/>
          <w:szCs w:val="26"/>
          <w:lang w:val="en-US"/>
        </w:rPr>
        <w:t>3</w:t>
      </w:r>
      <w:bookmarkStart w:id="0" w:name="_GoBack"/>
      <w:bookmarkEnd w:id="0"/>
      <w:r w:rsidR="00C8164B">
        <w:rPr>
          <w:rFonts w:ascii="Arial" w:hAnsi="Arial" w:cs="Arial"/>
          <w:b/>
          <w:bCs/>
          <w:sz w:val="26"/>
          <w:szCs w:val="26"/>
        </w:rPr>
        <w:t xml:space="preserve">.2.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3"/>
        <w:gridCol w:w="1442"/>
        <w:gridCol w:w="1442"/>
        <w:gridCol w:w="1442"/>
      </w:tblGrid>
      <w:tr w:rsidR="00C8164B" w:rsidTr="001877F2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0E1154" w:rsidRDefault="00C8164B" w:rsidP="00AD1C8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AD1C86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E5127C" w:rsidP="00AD1C86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AD1C86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> г.</w:t>
            </w:r>
            <w:r w:rsidR="00C8164B">
              <w:rPr>
                <w:sz w:val="22"/>
                <w:szCs w:val="22"/>
              </w:rPr>
              <w:br/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4442ED" w:rsidTr="00C83F65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Default="004442ED" w:rsidP="00AD1C8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444,8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491,6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4442ED" w:rsidTr="00C83F65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Default="004442ED" w:rsidP="00AD1C86">
            <w:pPr>
              <w:pStyle w:val="append"/>
              <w:spacing w:before="60" w:after="6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356,1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388,4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4442ED" w:rsidTr="00C83F65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Default="004442ED" w:rsidP="00AD1C8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4442ED" w:rsidTr="001877F2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Default="004442ED" w:rsidP="00AD1C8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</w:tr>
      <w:tr w:rsidR="004442ED" w:rsidTr="001877F2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Default="004442ED" w:rsidP="00AD1C8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</w:tr>
      <w:tr w:rsidR="004442ED" w:rsidTr="001877F2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Default="004442ED" w:rsidP="00AD1C8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442ED" w:rsidTr="001877F2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442ED" w:rsidRPr="0097014B" w:rsidRDefault="004442ED" w:rsidP="00AD1C86">
            <w:pPr>
              <w:pStyle w:val="2"/>
              <w:spacing w:before="60" w:after="6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442ED" w:rsidTr="001877F2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2ED" w:rsidRPr="0097014B" w:rsidRDefault="004442ED" w:rsidP="00AD1C86">
            <w:pPr>
              <w:pStyle w:val="2"/>
              <w:spacing w:before="60" w:after="6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2ED" w:rsidRDefault="004442ED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2ED" w:rsidRDefault="003F68AF" w:rsidP="00AD1C8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C8164B" w:rsidRPr="000B5EA1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0B5EA1" w:rsidRDefault="00C8164B" w:rsidP="00AD1C86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0B5EA1" w:rsidRDefault="00C8164B" w:rsidP="00AD1C86">
            <w:pPr>
              <w:spacing w:before="60" w:after="60" w:line="220" w:lineRule="exact"/>
              <w:ind w:left="-57" w:right="-57"/>
              <w:jc w:val="center"/>
            </w:pPr>
            <w:r w:rsidRPr="000B5EA1">
              <w:rPr>
                <w:sz w:val="22"/>
                <w:szCs w:val="22"/>
              </w:rPr>
              <w:t xml:space="preserve">На 1 </w:t>
            </w:r>
            <w:r w:rsidR="001658CE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0B5EA1" w:rsidRDefault="00C8164B" w:rsidP="00AD1C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 % к</w:t>
            </w:r>
          </w:p>
        </w:tc>
      </w:tr>
      <w:tr w:rsidR="00C8164B" w:rsidRPr="000B5EA1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0B5EA1" w:rsidRDefault="00C8164B" w:rsidP="00AD1C8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0B5EA1" w:rsidRDefault="00C8164B" w:rsidP="00AD1C86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0B5EA1" w:rsidRDefault="00C8164B" w:rsidP="00AD1C86">
            <w:pPr>
              <w:spacing w:before="60" w:after="60" w:line="220" w:lineRule="exact"/>
              <w:ind w:left="-78"/>
              <w:jc w:val="center"/>
            </w:pPr>
            <w:r w:rsidRPr="000B5EA1">
              <w:rPr>
                <w:sz w:val="22"/>
                <w:szCs w:val="22"/>
              </w:rPr>
              <w:t>1 января 202</w:t>
            </w:r>
            <w:r>
              <w:rPr>
                <w:sz w:val="22"/>
                <w:szCs w:val="22"/>
              </w:rPr>
              <w:t>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0B5EA1" w:rsidRDefault="00C8164B" w:rsidP="00AD1C86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1 </w:t>
            </w:r>
            <w:r w:rsidR="001658CE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</w:tr>
      <w:tr w:rsidR="00430F35" w:rsidRPr="000B5EA1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30F35" w:rsidRPr="000B5EA1" w:rsidRDefault="00430F35" w:rsidP="00AD1C86">
            <w:pPr>
              <w:spacing w:before="60" w:after="6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0B5EA1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F35" w:rsidRDefault="00430F35" w:rsidP="00AD1C86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F35" w:rsidRDefault="00430F35" w:rsidP="00AD1C86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0F35" w:rsidRDefault="00430F35" w:rsidP="00AD1C86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</w:tr>
      <w:tr w:rsidR="00430F35" w:rsidRPr="000B5EA1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F35" w:rsidRPr="000B5EA1" w:rsidRDefault="00430F35" w:rsidP="00AD1C86">
            <w:pPr>
              <w:spacing w:before="60" w:after="60" w:line="220" w:lineRule="exact"/>
              <w:ind w:left="357" w:right="34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F35" w:rsidRPr="00CD35C6" w:rsidRDefault="00430F35" w:rsidP="00AD1C8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F35" w:rsidRPr="00CD35C6" w:rsidRDefault="00430F35" w:rsidP="00AD1C8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F35" w:rsidRPr="00CD35C6" w:rsidRDefault="00430F35" w:rsidP="00AD1C8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</w:tr>
      <w:tr w:rsidR="00430F35" w:rsidRPr="000B5EA1" w:rsidTr="00AD1C8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0F35" w:rsidRPr="000B5EA1" w:rsidRDefault="00430F35" w:rsidP="00AD1C86">
            <w:pPr>
              <w:spacing w:before="60" w:after="60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B5EA1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F35" w:rsidRDefault="00430F35" w:rsidP="00AD1C8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F35" w:rsidRDefault="00430F35" w:rsidP="00AD1C8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0F35" w:rsidRDefault="00430F35" w:rsidP="00AD1C8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RPr="000B5EA1" w:rsidTr="00AD1C8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0B5EA1" w:rsidRDefault="00C8164B" w:rsidP="00AD1C86">
            <w:pPr>
              <w:spacing w:before="60" w:after="6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0B5EA1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1658CE">
              <w:rPr>
                <w:bCs/>
                <w:i/>
                <w:iCs/>
                <w:sz w:val="22"/>
                <w:szCs w:val="22"/>
              </w:rPr>
              <w:t>октября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2020</w:t>
            </w:r>
            <w:r w:rsidRPr="000B5EA1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4B" w:rsidRPr="00825BB1" w:rsidRDefault="00CD35C6" w:rsidP="00AD1C86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4B" w:rsidRPr="00825BB1" w:rsidRDefault="00C8164B" w:rsidP="00AD1C86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25BB1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4B" w:rsidRPr="00825BB1" w:rsidRDefault="00C8164B" w:rsidP="00AD1C86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25BB1">
              <w:rPr>
                <w:i/>
                <w:sz w:val="22"/>
                <w:szCs w:val="22"/>
              </w:rPr>
              <w:t> х</w:t>
            </w:r>
          </w:p>
        </w:tc>
      </w:tr>
      <w:tr w:rsidR="0027593A" w:rsidRPr="000B5EA1" w:rsidTr="00AD1C86">
        <w:trPr>
          <w:cantSplit/>
          <w:trHeight w:val="2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7593A" w:rsidRPr="000B5EA1" w:rsidRDefault="0027593A" w:rsidP="00AD1C86">
            <w:pPr>
              <w:spacing w:before="120" w:after="120" w:line="240" w:lineRule="exact"/>
              <w:ind w:right="32"/>
              <w:rPr>
                <w:b/>
                <w:bCs/>
                <w:i/>
                <w:iCs/>
              </w:rPr>
            </w:pPr>
            <w:r w:rsidRPr="000B5EA1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27593A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7593A" w:rsidRPr="000B5EA1" w:rsidRDefault="0027593A" w:rsidP="00AD1C86">
            <w:pPr>
              <w:spacing w:before="120" w:after="120" w:line="240" w:lineRule="exact"/>
              <w:ind w:left="720" w:right="32"/>
            </w:pPr>
            <w:r w:rsidRPr="000B5EA1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7593A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7593A" w:rsidRPr="000B5EA1" w:rsidRDefault="0027593A" w:rsidP="00AD1C86">
            <w:pPr>
              <w:spacing w:before="120" w:after="120" w:line="240" w:lineRule="exact"/>
              <w:ind w:left="113" w:right="32"/>
            </w:pPr>
            <w:r w:rsidRPr="000B5EA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</w:tr>
      <w:tr w:rsidR="0027593A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7593A" w:rsidRPr="000B5EA1" w:rsidRDefault="0027593A" w:rsidP="00AD1C86">
            <w:pPr>
              <w:spacing w:before="120" w:after="12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7593A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7593A" w:rsidRPr="000B5EA1" w:rsidRDefault="0027593A" w:rsidP="00AD1C86">
            <w:pPr>
              <w:spacing w:before="120" w:after="120" w:line="240" w:lineRule="exact"/>
              <w:ind w:left="113" w:right="32"/>
            </w:pPr>
            <w:r w:rsidRPr="000B5EA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27593A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7A4DA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Pr="00CD35C6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Pr="00CD35C6" w:rsidRDefault="0027593A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151,2</w:t>
            </w:r>
          </w:p>
        </w:tc>
      </w:tr>
      <w:tr w:rsidR="004F3963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963" w:rsidRPr="000B5EA1" w:rsidRDefault="004F3963" w:rsidP="00AD1C86">
            <w:pPr>
              <w:spacing w:before="120" w:after="120" w:line="24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963" w:rsidRPr="00CD35C6" w:rsidRDefault="004F396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0,</w:t>
            </w:r>
            <w:r w:rsidR="007A4DA3" w:rsidRPr="00CD35C6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963" w:rsidRDefault="004F396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963" w:rsidRDefault="004F396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F3963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F3963" w:rsidRPr="000B5EA1" w:rsidRDefault="004F3963" w:rsidP="00AD1C86">
            <w:pPr>
              <w:spacing w:before="120" w:after="120" w:line="240" w:lineRule="exact"/>
              <w:ind w:right="32"/>
            </w:pPr>
            <w:r w:rsidRPr="000B5EA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B5EA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963" w:rsidRDefault="004F396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963" w:rsidRDefault="004F396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963" w:rsidRDefault="004F396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7593A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593A" w:rsidRPr="000B5EA1" w:rsidRDefault="0027593A" w:rsidP="00AD1C86">
            <w:pPr>
              <w:spacing w:before="120" w:after="120" w:line="240" w:lineRule="exact"/>
              <w:ind w:right="170"/>
            </w:pPr>
            <w:r w:rsidRPr="000B5EA1">
              <w:rPr>
                <w:sz w:val="22"/>
                <w:szCs w:val="22"/>
              </w:rPr>
              <w:t>Просроченная кредиторская задолженность,</w:t>
            </w:r>
            <w:r w:rsidRPr="000B5EA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593A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A4DA3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right="32"/>
            </w:pPr>
            <w:r w:rsidRPr="000B5EA1">
              <w:rPr>
                <w:sz w:val="22"/>
                <w:szCs w:val="22"/>
              </w:rPr>
              <w:t xml:space="preserve">Внешняя кредиторская задолженность, </w:t>
            </w:r>
            <w:r w:rsidR="00CC43FD">
              <w:rPr>
                <w:sz w:val="22"/>
                <w:szCs w:val="22"/>
              </w:rPr>
              <w:br/>
            </w:r>
            <w:r w:rsidRPr="000B5EA1">
              <w:rPr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Pr="00CD35C6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143,4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</w:tr>
      <w:tr w:rsidR="007A4DA3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A4DA3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="00CC43FD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45,7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53,4</w:t>
            </w:r>
          </w:p>
        </w:tc>
      </w:tr>
      <w:tr w:rsidR="007A4DA3" w:rsidRPr="000B5EA1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A4DA3" w:rsidRPr="000B5EA1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right="57"/>
            </w:pPr>
            <w:r w:rsidRPr="000B5EA1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B5EA1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Pr="00AD1C86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C8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Pr="00AD1C86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C8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Pr="00AD1C86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AD1C86">
              <w:rPr>
                <w:sz w:val="22"/>
                <w:szCs w:val="22"/>
              </w:rPr>
              <w:t>–</w:t>
            </w:r>
          </w:p>
        </w:tc>
      </w:tr>
      <w:tr w:rsidR="007A4DA3" w:rsidRPr="000B5EA1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right="34"/>
              <w:rPr>
                <w:b/>
                <w:bCs/>
              </w:rPr>
            </w:pPr>
            <w:r w:rsidRPr="000B5EA1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73,8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</w:tr>
      <w:tr w:rsidR="007A4DA3" w:rsidRPr="000B5EA1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left="360" w:right="34"/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7A4DA3" w:rsidRPr="000B5EA1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pStyle w:val="append"/>
              <w:spacing w:before="120" w:after="120" w:line="240" w:lineRule="exact"/>
              <w:ind w:right="34"/>
            </w:pPr>
            <w:r w:rsidRPr="000B5EA1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A4DA3" w:rsidRPr="000B5EA1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pStyle w:val="append"/>
              <w:spacing w:before="120" w:after="120" w:line="240" w:lineRule="exact"/>
              <w:ind w:right="34"/>
            </w:pPr>
            <w:r w:rsidRPr="000B5EA1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</w:tr>
      <w:tr w:rsidR="007A4DA3" w:rsidRPr="000B5EA1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left="340" w:right="34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4DA3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A4DA3" w:rsidRPr="000B5EA1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A4DA3" w:rsidRPr="000B5EA1" w:rsidRDefault="007A4DA3" w:rsidP="00AD1C86">
            <w:pPr>
              <w:spacing w:before="120" w:after="120" w:line="240" w:lineRule="exact"/>
              <w:ind w:right="34"/>
            </w:pPr>
            <w:r w:rsidRPr="000B5EA1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4DA3" w:rsidRPr="00CD35C6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4DA3" w:rsidRPr="00CD35C6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4DA3" w:rsidRPr="00CD35C6" w:rsidRDefault="007A4DA3" w:rsidP="00AD1C8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CD35C6">
              <w:rPr>
                <w:sz w:val="22"/>
                <w:szCs w:val="22"/>
              </w:rPr>
              <w:t>–</w:t>
            </w:r>
          </w:p>
        </w:tc>
      </w:tr>
    </w:tbl>
    <w:p w:rsidR="0035401E" w:rsidRDefault="0035401E" w:rsidP="00AD1C86">
      <w:pPr>
        <w:spacing w:before="120" w:line="35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в январе-сентябре 20</w:t>
      </w:r>
      <w:r w:rsidRPr="009F24E7">
        <w:rPr>
          <w:sz w:val="26"/>
        </w:rPr>
        <w:t>2</w:t>
      </w:r>
      <w:r>
        <w:rPr>
          <w:sz w:val="26"/>
        </w:rPr>
        <w:t>1 г.</w:t>
      </w:r>
      <w:r w:rsidRPr="00070F80">
        <w:rPr>
          <w:sz w:val="26"/>
        </w:rPr>
        <w:t xml:space="preserve"> </w:t>
      </w:r>
      <w:r>
        <w:rPr>
          <w:sz w:val="26"/>
        </w:rPr>
        <w:t>составили 323,9 млн. рублей, или в сопоставимых ценах 110,2% к</w:t>
      </w:r>
      <w:r w:rsidR="00CC43FD">
        <w:rPr>
          <w:sz w:val="26"/>
        </w:rPr>
        <w:t xml:space="preserve"> уровню января-сентября 2020 г.</w:t>
      </w:r>
    </w:p>
    <w:p w:rsidR="00DD18BF" w:rsidRPr="001658CE" w:rsidRDefault="00DD18BF" w:rsidP="0035401E">
      <w:pPr>
        <w:spacing w:before="40" w:line="340" w:lineRule="exact"/>
        <w:ind w:firstLine="709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7A5BCE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4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4C8" w:rsidRDefault="008474C8">
      <w:r>
        <w:separator/>
      </w:r>
    </w:p>
  </w:endnote>
  <w:endnote w:type="continuationSeparator" w:id="0">
    <w:p w:rsidR="008474C8" w:rsidRDefault="0084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602F0">
      <w:rPr>
        <w:rStyle w:val="a3"/>
        <w:noProof/>
      </w:rPr>
      <w:t>143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4C8" w:rsidRDefault="008474C8">
      <w:r>
        <w:separator/>
      </w:r>
    </w:p>
  </w:footnote>
  <w:footnote w:type="continuationSeparator" w:id="0">
    <w:p w:rsidR="008474C8" w:rsidRDefault="00847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462"/>
    <w:rsid w:val="00031B06"/>
    <w:rsid w:val="00042FFD"/>
    <w:rsid w:val="00043BC8"/>
    <w:rsid w:val="00044747"/>
    <w:rsid w:val="000602F0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BDB"/>
    <w:rsid w:val="00151E76"/>
    <w:rsid w:val="00160C57"/>
    <w:rsid w:val="001616D7"/>
    <w:rsid w:val="00161FFA"/>
    <w:rsid w:val="001623A3"/>
    <w:rsid w:val="001628E4"/>
    <w:rsid w:val="001658CE"/>
    <w:rsid w:val="001716A1"/>
    <w:rsid w:val="00174602"/>
    <w:rsid w:val="00175FE8"/>
    <w:rsid w:val="00186AED"/>
    <w:rsid w:val="00187666"/>
    <w:rsid w:val="001877F2"/>
    <w:rsid w:val="00187CAE"/>
    <w:rsid w:val="00187D9B"/>
    <w:rsid w:val="00193F67"/>
    <w:rsid w:val="001A39C9"/>
    <w:rsid w:val="001A473F"/>
    <w:rsid w:val="001A74BE"/>
    <w:rsid w:val="001B15A0"/>
    <w:rsid w:val="001B601D"/>
    <w:rsid w:val="001C1799"/>
    <w:rsid w:val="001C4164"/>
    <w:rsid w:val="001C48F7"/>
    <w:rsid w:val="001C65D7"/>
    <w:rsid w:val="001D162F"/>
    <w:rsid w:val="001D27CF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1046"/>
    <w:rsid w:val="00342E0F"/>
    <w:rsid w:val="003501BC"/>
    <w:rsid w:val="00351A95"/>
    <w:rsid w:val="00351B42"/>
    <w:rsid w:val="0035401E"/>
    <w:rsid w:val="00355EF7"/>
    <w:rsid w:val="003629FB"/>
    <w:rsid w:val="003655BB"/>
    <w:rsid w:val="00365E09"/>
    <w:rsid w:val="00370510"/>
    <w:rsid w:val="003734AA"/>
    <w:rsid w:val="00373E06"/>
    <w:rsid w:val="00377A23"/>
    <w:rsid w:val="00391334"/>
    <w:rsid w:val="003A094A"/>
    <w:rsid w:val="003A20D4"/>
    <w:rsid w:val="003A5EBE"/>
    <w:rsid w:val="003A6F6F"/>
    <w:rsid w:val="003A73F3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6144"/>
    <w:rsid w:val="003F68AF"/>
    <w:rsid w:val="0040315F"/>
    <w:rsid w:val="00406683"/>
    <w:rsid w:val="0040698B"/>
    <w:rsid w:val="00407012"/>
    <w:rsid w:val="00415407"/>
    <w:rsid w:val="00426137"/>
    <w:rsid w:val="00430F35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2C78"/>
    <w:rsid w:val="004C32EC"/>
    <w:rsid w:val="004C6935"/>
    <w:rsid w:val="004C6EFE"/>
    <w:rsid w:val="004C7076"/>
    <w:rsid w:val="004C7CAC"/>
    <w:rsid w:val="004D091D"/>
    <w:rsid w:val="004D7A2F"/>
    <w:rsid w:val="004E59CE"/>
    <w:rsid w:val="004F10E4"/>
    <w:rsid w:val="004F3963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6E3E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E6BEE"/>
    <w:rsid w:val="005F089D"/>
    <w:rsid w:val="005F0B16"/>
    <w:rsid w:val="005F553B"/>
    <w:rsid w:val="005F5646"/>
    <w:rsid w:val="005F5DD6"/>
    <w:rsid w:val="00607D6C"/>
    <w:rsid w:val="00611F35"/>
    <w:rsid w:val="00613850"/>
    <w:rsid w:val="00616809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D45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813"/>
    <w:rsid w:val="00760C37"/>
    <w:rsid w:val="0077483A"/>
    <w:rsid w:val="00774E0F"/>
    <w:rsid w:val="00776476"/>
    <w:rsid w:val="00782E51"/>
    <w:rsid w:val="007843A8"/>
    <w:rsid w:val="00794C33"/>
    <w:rsid w:val="00796513"/>
    <w:rsid w:val="007A1274"/>
    <w:rsid w:val="007A4DA3"/>
    <w:rsid w:val="007A5BCE"/>
    <w:rsid w:val="007A7642"/>
    <w:rsid w:val="007A7933"/>
    <w:rsid w:val="007B085F"/>
    <w:rsid w:val="007B2FE4"/>
    <w:rsid w:val="007B7E1D"/>
    <w:rsid w:val="007C567C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07D72"/>
    <w:rsid w:val="00811C92"/>
    <w:rsid w:val="00811F96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55E1"/>
    <w:rsid w:val="00844DFF"/>
    <w:rsid w:val="008474C8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03617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0603"/>
    <w:rsid w:val="00AD1C86"/>
    <w:rsid w:val="00AD563C"/>
    <w:rsid w:val="00AD6A1E"/>
    <w:rsid w:val="00AE5DE2"/>
    <w:rsid w:val="00AE688B"/>
    <w:rsid w:val="00AF07A2"/>
    <w:rsid w:val="00AF5397"/>
    <w:rsid w:val="00AF76EE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31BCF"/>
    <w:rsid w:val="00B35DAF"/>
    <w:rsid w:val="00B43358"/>
    <w:rsid w:val="00B468E8"/>
    <w:rsid w:val="00B5007F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183B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203F"/>
    <w:rsid w:val="00C6530E"/>
    <w:rsid w:val="00C6633A"/>
    <w:rsid w:val="00C66C07"/>
    <w:rsid w:val="00C67470"/>
    <w:rsid w:val="00C73701"/>
    <w:rsid w:val="00C7391D"/>
    <w:rsid w:val="00C73CDC"/>
    <w:rsid w:val="00C773A0"/>
    <w:rsid w:val="00C8164B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56C5D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13CD"/>
    <w:rsid w:val="00F77D9A"/>
    <w:rsid w:val="00F8247D"/>
    <w:rsid w:val="00F85CF5"/>
    <w:rsid w:val="00F86A97"/>
    <w:rsid w:val="00F921A5"/>
    <w:rsid w:val="00F961E2"/>
    <w:rsid w:val="00F97E2F"/>
    <w:rsid w:val="00FA07A4"/>
    <w:rsid w:val="00FA423B"/>
    <w:rsid w:val="00FB0240"/>
    <w:rsid w:val="00FC4CD8"/>
    <w:rsid w:val="00FD0F12"/>
    <w:rsid w:val="00FD1881"/>
    <w:rsid w:val="00FD2CEC"/>
    <w:rsid w:val="00FD32EC"/>
    <w:rsid w:val="00FD6962"/>
    <w:rsid w:val="00FD7CE6"/>
    <w:rsid w:val="00FE40F7"/>
    <w:rsid w:val="00FE654F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7FB1A-4C3A-4FBF-BD13-5ED12FEC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78</cp:revision>
  <cp:lastPrinted>2021-08-19T15:40:00Z</cp:lastPrinted>
  <dcterms:created xsi:type="dcterms:W3CDTF">2018-01-23T14:34:00Z</dcterms:created>
  <dcterms:modified xsi:type="dcterms:W3CDTF">2021-11-25T08:59:00Z</dcterms:modified>
</cp:coreProperties>
</file>